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6432" w14:textId="226CA3BB" w:rsidR="006F4539" w:rsidRPr="00442816" w:rsidRDefault="001D6C24" w:rsidP="00442816">
      <w:pPr>
        <w:ind w:left="-851" w:right="-7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ru-RU"/>
        </w:rPr>
      </w:pPr>
      <w:proofErr w:type="spellStart"/>
      <w:r w:rsidRPr="009B5D0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CF4346" w:rsidRPr="009B5D0C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B5D0C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E62F81" w:rsidRPr="009B5D0C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B5D0C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тификация</w:t>
      </w:r>
      <w:proofErr w:type="spellEnd"/>
      <w:r w:rsidR="009B5D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применения</w:t>
      </w:r>
      <w:r w:rsidR="0037455A"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современной стоматологической керамики</w:t>
      </w:r>
    </w:p>
    <w:p w14:paraId="1A51B2F8" w14:textId="77777777" w:rsidR="00442816" w:rsidRDefault="00442816" w:rsidP="00442816">
      <w:pPr>
        <w:ind w:left="-851" w:right="-77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99B584" w14:textId="253FC412" w:rsidR="006F4539" w:rsidRPr="00442816" w:rsidRDefault="0037455A" w:rsidP="00442816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3CD5839C" w14:textId="054A3E6B" w:rsidR="006F4539" w:rsidRPr="00442816" w:rsidRDefault="0037455A" w:rsidP="00442816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Материалы для непрямых реставраций зубов можно условно разделить на три основные категории: металлические (цельнометаллические и металлокерамические), керамические и композитные. Известно, что среди этих реставрационных материалов реставрации из литого золотого сплава обеспечивают чрезвычайно предсказуемую долгосрочную клиническую службу - показатель выживаемости 94,1% через 40 лет [1</w:t>
      </w:r>
      <w:r w:rsidR="0044281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428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Металлокерамические реставрации предлагают преимущество сочетания хорошей клинической долговечности с удовлетворительными эстетическими результатами [2,3</w:t>
      </w:r>
      <w:r w:rsidR="0044281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428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26DED9" w14:textId="1339AF2D" w:rsidR="006F4539" w:rsidRPr="00442816" w:rsidRDefault="0037455A" w:rsidP="00A60F4C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Однако со временем пациенты все больше ожидают более высоких эстетических результатов и реставраций без использования металла. Это привело к разработке керамических материалов для удовлетворения этого запроса. За последние четыре десятилетия появилось множество керамических систем [4</w:t>
      </w:r>
      <w:r w:rsidR="00A60F4C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], благодаря которым свойства материалов значительно улучшились.</w:t>
      </w:r>
      <w:r w:rsidR="00A60F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выживаемости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цельнокерамических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коронок различаются в зависимости от типа керамики, метода изготовления и клинических показаний [5,6</w:t>
      </w:r>
      <w:r w:rsidR="00A60F4C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60F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40093D" w14:textId="77777777" w:rsidR="006F4539" w:rsidRPr="00442816" w:rsidRDefault="0037455A" w:rsidP="00AA773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У каждого типа керамического материала есть свои преимущества и ограничения, и клиницист несет ответственность за то, чтобы указать пациенту, какой материал будет соответствовать его функциональным и эстетическим потребностям. Цель данной статьи - дать обзор наиболее распространенных современных керамических конструкций, используемых в стоматологии, и обозначить их преимущества и недостатки.</w:t>
      </w:r>
    </w:p>
    <w:p w14:paraId="3FAF6445" w14:textId="77777777" w:rsidR="006F4539" w:rsidRPr="00442816" w:rsidRDefault="0037455A" w:rsidP="00E73CCA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Коронки из фарфора и металлокерамические коронки</w:t>
      </w:r>
    </w:p>
    <w:p w14:paraId="46A66F53" w14:textId="162A581D" w:rsidR="006F4539" w:rsidRPr="00442816" w:rsidRDefault="0037455A" w:rsidP="00E73CCA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Стоматологическая керамика в широком смысле определяется как неорганические неметаллические материалы, которые специально разработаны для использования при обработке в соответствии с инструкциями производителей для формирования всей или части зубной реставрации или протеза [7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Фарфор на основе полевого шпата ранее был единственной керамикой, доступной для изготовления «фарфоровых коронок». Он содержит три минерала: полевой шпат (алюмосиликат калия и натрия), каолин (гидратированный силикат алюминия) и кварц (двуокись кремния)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[8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Когда фарфоровый порошок запекается в фарфоровой печи, полевой шпат образует кристаллы лейцита (&lt;5% по массе) в матрице алюмосиликатного стекла [9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Коронки из полевошпатного фарфора, хотя и эстетичны, хрупкие и чувствительны к образованию трещин. Они уязвимы для распространения трещин после циклической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окклюзионной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нагрузки, что может привести к катастрофическому разрушению [10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Ограниченные физические свойства фарфора на основе полевого шпата связаны с низкой концентрацией лейцита и дефектами, обнаруженными в спеченном материале [11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09AF32" w14:textId="275C2A48" w:rsidR="006F4539" w:rsidRDefault="0037455A" w:rsidP="00AA7734">
      <w:pPr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Металлокерамические реставрации с металлическим колпачком или каркасом, полностью или частично облицованные полевошпатной керамикой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1), были разработаны как способ укрепления коронок из полевошпатного фарфора [12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Эти реставрации позволяют уменьшить препарирование зубов в областях, где нет облицовочного керамического полевого шпата. В случаях, когда пациент является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бруксистом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, металлическая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окклюзионная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поверхность металлокерамической коронки обеспечивает дополнительное преимущество в виде более консервативного препарирования зубов и снижения риска скола фарфора. Кроме того,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металлическая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окклюзионная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поверхность значительно менее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абразивна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для противоположного зуба, чем керамическая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окклюзионная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поверхность [13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73C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B9C315" w14:textId="3EF00AFD" w:rsidR="00E73CCA" w:rsidRPr="00E73CCA" w:rsidRDefault="00E73CCA" w:rsidP="00E73CCA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  <w:r w:rsidRPr="00E73CCA">
        <w:rPr>
          <w:rFonts w:ascii="Times New Roman" w:hAnsi="Times New Roman" w:cs="Times New Roman"/>
          <w:sz w:val="24"/>
          <w:szCs w:val="24"/>
          <w:lang w:val="ru-RU"/>
        </w:rPr>
        <w:t>Рисунок 1. Металлокерамическая коронка с частично облицованным металлическим колпачком из полевошпатной керамики</w:t>
      </w:r>
    </w:p>
    <w:p w14:paraId="60930E84" w14:textId="77777777" w:rsidR="006F4539" w:rsidRPr="00442816" w:rsidRDefault="0037455A" w:rsidP="00442816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</w:rPr>
      </w:pPr>
      <w:r w:rsidRPr="00442816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24BBBCE3" wp14:editId="1FBC6C2F">
            <wp:extent cx="1949450" cy="2730500"/>
            <wp:effectExtent l="0" t="0" r="0" b="0"/>
            <wp:docPr id="1073741825" name="officeArt object" descr="Изображение выглядит как внутренний, закрыть, шлем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внутренний, закрыть, шлемАвтоматически созданное описание" descr="Изображение выглядит как внутренний, закрыть, шлем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9634" cy="2730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D0BDB5" w14:textId="77777777" w:rsidR="006F4539" w:rsidRPr="00442816" w:rsidRDefault="0037455A" w:rsidP="00AA3AC9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Классификация стоматологической керамики</w:t>
      </w:r>
    </w:p>
    <w:p w14:paraId="480A849F" w14:textId="6ED2FD71" w:rsidR="006F4539" w:rsidRPr="00442816" w:rsidRDefault="0037455A" w:rsidP="00AA3AC9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Стоматологическую керамику можно условно разделить на две основные категории</w:t>
      </w:r>
      <w:r w:rsidR="001004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41E" w:rsidRPr="00442816">
        <w:rPr>
          <w:rFonts w:ascii="Times New Roman" w:hAnsi="Times New Roman" w:cs="Times New Roman"/>
          <w:sz w:val="24"/>
          <w:szCs w:val="24"/>
          <w:lang w:val="ru-RU"/>
        </w:rPr>
        <w:t>[9</w:t>
      </w:r>
      <w:r w:rsidR="001004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10041E"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004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их состава: </w:t>
      </w:r>
    </w:p>
    <w:p w14:paraId="568EA69F" w14:textId="6A17C2DE" w:rsidR="006F4539" w:rsidRPr="00442816" w:rsidRDefault="0037455A" w:rsidP="00CA6A6D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CA6A6D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A6A6D" w:rsidRPr="00CA6A6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A6A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Стеклокерамика: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она имеет кристаллическую фазу в стеклянной матрице и может быть протравлена ​​плавиковой кислотой (</w:t>
      </w:r>
      <w:r w:rsidR="00CA6A6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CA6A6D">
        <w:rPr>
          <w:rFonts w:ascii="Times New Roman" w:hAnsi="Times New Roman" w:cs="Times New Roman"/>
          <w:sz w:val="24"/>
          <w:szCs w:val="24"/>
          <w:lang w:val="ru-RU"/>
        </w:rPr>
        <w:t>унки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2 и 3). Затем на протравленную поверхность на 60 секунд наносится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силан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, после чего наносится адгезивный цемент на основе смолы, обеспечивающий сцепление с эмалью.</w:t>
      </w:r>
    </w:p>
    <w:p w14:paraId="399AF9F4" w14:textId="6C35170A" w:rsidR="006F4539" w:rsidRDefault="0037455A" w:rsidP="00CA6A6D">
      <w:pPr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A6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A6A6D" w:rsidRPr="00CA6A6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A6A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Поликристаллическая керамика: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они не содержат стеклянной матрицы и поэтому не могут быть протравлены плавиковой кислотой для связывания с эмалью. Они представляют собой плотно спеченные поликристаллические структуры, содержащие оксид алюминия или оксид циркония, и обычно цементируются обычным фиксирующим цементом.</w:t>
      </w:r>
    </w:p>
    <w:p w14:paraId="545A5034" w14:textId="77777777" w:rsidR="009B5D0C" w:rsidRDefault="00CA6A6D" w:rsidP="009B5D0C">
      <w:pPr>
        <w:spacing w:after="0"/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6A6D">
        <w:rPr>
          <w:rFonts w:ascii="Times New Roman" w:hAnsi="Times New Roman" w:cs="Times New Roman"/>
          <w:sz w:val="24"/>
          <w:szCs w:val="24"/>
          <w:lang w:val="ru-RU"/>
        </w:rPr>
        <w:t>Рис</w:t>
      </w:r>
      <w:r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CA6A6D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6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D0C">
        <w:rPr>
          <w:rFonts w:ascii="Times New Roman" w:hAnsi="Times New Roman" w:cs="Times New Roman"/>
          <w:sz w:val="24"/>
          <w:szCs w:val="24"/>
          <w:lang w:val="ru-RU"/>
        </w:rPr>
        <w:t xml:space="preserve">Протравливание коронки из </w:t>
      </w:r>
      <w:proofErr w:type="spellStart"/>
      <w:r w:rsidR="009B5D0C" w:rsidRPr="00CA6A6D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="009B5D0C" w:rsidRPr="00CA6A6D">
        <w:rPr>
          <w:rFonts w:ascii="Times New Roman" w:hAnsi="Times New Roman" w:cs="Times New Roman"/>
          <w:sz w:val="24"/>
          <w:szCs w:val="24"/>
          <w:lang w:val="ru-RU"/>
        </w:rPr>
        <w:t xml:space="preserve"> лития с матрицей из стеклокерамики </w:t>
      </w:r>
    </w:p>
    <w:p w14:paraId="657F664D" w14:textId="7DC35922" w:rsidR="00CA6A6D" w:rsidRDefault="00CA6A6D" w:rsidP="009B5D0C">
      <w:pPr>
        <w:spacing w:after="0"/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6A6D">
        <w:rPr>
          <w:rFonts w:ascii="Times New Roman" w:hAnsi="Times New Roman" w:cs="Times New Roman"/>
          <w:sz w:val="24"/>
          <w:szCs w:val="24"/>
          <w:lang w:val="ru-RU"/>
        </w:rPr>
        <w:t>5% плавиков</w:t>
      </w:r>
      <w:r w:rsidR="009B5D0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CA6A6D">
        <w:rPr>
          <w:rFonts w:ascii="Times New Roman" w:hAnsi="Times New Roman" w:cs="Times New Roman"/>
          <w:sz w:val="24"/>
          <w:szCs w:val="24"/>
          <w:lang w:val="ru-RU"/>
        </w:rPr>
        <w:t xml:space="preserve"> кислот</w:t>
      </w:r>
      <w:r w:rsidR="009B5D0C">
        <w:rPr>
          <w:rFonts w:ascii="Times New Roman" w:hAnsi="Times New Roman" w:cs="Times New Roman"/>
          <w:sz w:val="24"/>
          <w:szCs w:val="24"/>
          <w:lang w:val="ru-RU"/>
        </w:rPr>
        <w:t>ой</w:t>
      </w:r>
    </w:p>
    <w:p w14:paraId="4A3F5846" w14:textId="77777777" w:rsidR="009B5D0C" w:rsidRPr="00CA6A6D" w:rsidRDefault="009B5D0C" w:rsidP="009B5D0C">
      <w:pPr>
        <w:spacing w:after="0"/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</w:p>
    <w:p w14:paraId="0973D777" w14:textId="77777777" w:rsidR="006F4539" w:rsidRPr="00442816" w:rsidRDefault="0037455A" w:rsidP="00442816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</w:rPr>
      </w:pPr>
      <w:r w:rsidRPr="00442816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2409923C" wp14:editId="46AE42A0">
            <wp:extent cx="3149600" cy="1974850"/>
            <wp:effectExtent l="0" t="0" r="0" b="6350"/>
            <wp:docPr id="1073741826" name="officeArt object" descr="Изображение выглядит как ед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выглядит как едаАвтоматически созданное описание" descr="Изображение выглядит как еда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97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A12C34" w14:textId="6533A73B" w:rsidR="00CA6A6D" w:rsidRPr="00CA6A6D" w:rsidRDefault="00CA6A6D" w:rsidP="00CA6A6D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  <w:r w:rsidRPr="00CA6A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Рисунок 3. Протравленная поверхность коронок из стеклокерамики из </w:t>
      </w:r>
      <w:proofErr w:type="spellStart"/>
      <w:r w:rsidRPr="00CA6A6D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Pr="00CA6A6D">
        <w:rPr>
          <w:rFonts w:ascii="Times New Roman" w:hAnsi="Times New Roman" w:cs="Times New Roman"/>
          <w:sz w:val="24"/>
          <w:szCs w:val="24"/>
          <w:lang w:val="ru-RU"/>
        </w:rPr>
        <w:t xml:space="preserve"> лития перед цементированием</w:t>
      </w:r>
    </w:p>
    <w:p w14:paraId="5A239125" w14:textId="77777777" w:rsidR="006F4539" w:rsidRPr="00442816" w:rsidRDefault="0037455A" w:rsidP="00442816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</w:rPr>
      </w:pPr>
      <w:r w:rsidRPr="00442816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792C88D1" wp14:editId="3C89AFCA">
            <wp:extent cx="3009900" cy="4000500"/>
            <wp:effectExtent l="0" t="0" r="0" b="0"/>
            <wp:docPr id="1073741827" name="officeArt object" descr="Изображение выглядит как беспозвоночное, моллюс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ие выглядит как беспозвоночное, моллюскАвтоматически созданное описание" descr="Изображение выглядит как беспозвоночное, моллюск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00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67E3AA2" w14:textId="77777777" w:rsidR="006F4539" w:rsidRPr="00442816" w:rsidRDefault="006F4539" w:rsidP="00442816">
      <w:pPr>
        <w:ind w:left="-851" w:right="-772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</w:p>
    <w:p w14:paraId="6AF27ABA" w14:textId="77777777" w:rsidR="006F4539" w:rsidRPr="00442816" w:rsidRDefault="0037455A" w:rsidP="00CA6A6D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Матрица стеклокерамики</w:t>
      </w:r>
    </w:p>
    <w:p w14:paraId="735B30B9" w14:textId="303539FF" w:rsidR="006F4539" w:rsidRPr="00442816" w:rsidRDefault="0037455A" w:rsidP="00CA6A6D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Стеклокерамика армируется наполнителями, которые представляют собой поликристаллы или кристаллические структуры. Это усиление может распространяться на весь материал и создавать монолитную реставрацию (</w:t>
      </w:r>
      <w:r w:rsidR="00AA773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AA7734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4). В качестве альтернативы это может быть усиленная сердцевина, облицованная эстетичной, но более слабой керамикой (например, фарфор на основе полевого шпата), обычно называемая «послойной» керамической реставрацией (</w:t>
      </w:r>
      <w:r w:rsidR="00AA773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AA7734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5). Примеры поликристаллов, используемых для упрочнения керамики со стеклянной матрицей, включают лейцит,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дисиликат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лития и оксид алюминия.</w:t>
      </w:r>
    </w:p>
    <w:p w14:paraId="0C690C7E" w14:textId="0477F8BD" w:rsidR="006F4539" w:rsidRPr="00442816" w:rsidRDefault="0037455A" w:rsidP="00AA7734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Лейцит (алюмосиликат </w:t>
      </w:r>
      <w:r w:rsidR="005F6E4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калия</w:t>
      </w: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) с высокой концентрацией</w:t>
      </w:r>
    </w:p>
    <w:p w14:paraId="3510E4D0" w14:textId="3D39DC91" w:rsidR="006F4539" w:rsidRPr="00442816" w:rsidRDefault="0037455A" w:rsidP="00AA773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Эти реставрации содержат повышенную концентрацию лейцита (</w:t>
      </w:r>
      <w:proofErr w:type="gramStart"/>
      <w:r w:rsidRPr="00442816">
        <w:rPr>
          <w:rFonts w:ascii="Times New Roman" w:hAnsi="Times New Roman" w:cs="Times New Roman"/>
          <w:sz w:val="24"/>
          <w:szCs w:val="24"/>
          <w:lang w:val="ru-RU"/>
        </w:rPr>
        <w:t>40-55</w:t>
      </w:r>
      <w:proofErr w:type="gram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% по массе) по сравнению с полевошпатной керамикой (лейцит &lt;5% по массе).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Лейцитовая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керамика имеет прочность на изгиб 160 МПа4 и поэтому не является прочным материалом. Тем не менее, она остается популярной реставрацией у стоматологов для использования в качестве виниров на адгезивной фиксации. Поликристаллы лейцита и окружающая их стеклянная матрица имеют одинаковый показатель преломления, что придает этой реставрации превосходный эстетический вид [14</w:t>
      </w:r>
      <w:r w:rsidR="00AA773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A773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Примером реставрации с высокой концентрацией лейцита является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Porcelain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System (IPS)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Empress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, Лихтенштейн).</w:t>
      </w:r>
    </w:p>
    <w:p w14:paraId="594AFDCC" w14:textId="77777777" w:rsidR="00E1147F" w:rsidRDefault="00E1147F" w:rsidP="00E1147F">
      <w:pPr>
        <w:ind w:left="-851" w:right="-77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E2C7DD" w14:textId="6BDC11B8" w:rsidR="00E1147F" w:rsidRPr="00E1147F" w:rsidRDefault="00E1147F" w:rsidP="00E1147F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  <w:r w:rsidRPr="00E114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Рисунок 4. Монолитная реставрация из </w:t>
      </w:r>
      <w:proofErr w:type="spellStart"/>
      <w:r w:rsidRPr="00E1147F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Pr="00E1147F">
        <w:rPr>
          <w:rFonts w:ascii="Times New Roman" w:hAnsi="Times New Roman" w:cs="Times New Roman"/>
          <w:sz w:val="24"/>
          <w:szCs w:val="24"/>
          <w:lang w:val="ru-RU"/>
        </w:rPr>
        <w:t xml:space="preserve"> лития с окрашиванием поверхности</w:t>
      </w:r>
    </w:p>
    <w:p w14:paraId="6426CB63" w14:textId="77B85BBE" w:rsidR="006F4539" w:rsidRDefault="0037455A" w:rsidP="00442816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</w:rPr>
      </w:pPr>
      <w:r w:rsidRPr="00442816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0929A796" wp14:editId="1E0ED8BF">
            <wp:extent cx="3009900" cy="1724025"/>
            <wp:effectExtent l="0" t="0" r="0" b="0"/>
            <wp:docPr id="1073741828" name="officeArt object" descr="Изображение выглядит как беспозвоночное, моллюск, черный, каури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ие выглядит как беспозвоночное, моллюск, черный, кауриАвтоматически созданное описание" descr="Изображение выглядит как беспозвоночное, моллюск, черный, каури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2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74C568F" w14:textId="63286149" w:rsidR="001B6833" w:rsidRDefault="00E1147F" w:rsidP="0002334A">
      <w:pPr>
        <w:spacing w:after="0"/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448A">
        <w:rPr>
          <w:rFonts w:ascii="Times New Roman" w:hAnsi="Times New Roman" w:cs="Times New Roman"/>
          <w:sz w:val="24"/>
          <w:szCs w:val="24"/>
          <w:lang w:val="ru-RU"/>
        </w:rPr>
        <w:t>Рисунок 5.</w:t>
      </w:r>
      <w:r w:rsidR="00BD7F52" w:rsidRPr="00154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48A" w:rsidRPr="0015448A">
        <w:rPr>
          <w:rFonts w:ascii="Times New Roman" w:hAnsi="Times New Roman" w:cs="Times New Roman"/>
          <w:sz w:val="24"/>
          <w:szCs w:val="24"/>
          <w:lang w:val="ru-RU"/>
        </w:rPr>
        <w:t xml:space="preserve">Коронка </w:t>
      </w:r>
      <w:r w:rsidR="00BD7F52" w:rsidRPr="0015448A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 w:rsidR="00BD7F52" w:rsidRPr="0015448A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="00BD7F52" w:rsidRPr="0015448A">
        <w:rPr>
          <w:rFonts w:ascii="Times New Roman" w:hAnsi="Times New Roman" w:cs="Times New Roman"/>
          <w:sz w:val="24"/>
          <w:szCs w:val="24"/>
          <w:lang w:val="ru-RU"/>
        </w:rPr>
        <w:t xml:space="preserve"> лития</w:t>
      </w:r>
      <w:r w:rsidR="009F7554">
        <w:rPr>
          <w:rFonts w:ascii="Times New Roman" w:hAnsi="Times New Roman" w:cs="Times New Roman"/>
          <w:sz w:val="24"/>
          <w:szCs w:val="24"/>
          <w:lang w:val="ru-RU"/>
        </w:rPr>
        <w:t xml:space="preserve"> зуба 2.4</w:t>
      </w:r>
    </w:p>
    <w:p w14:paraId="5F484390" w14:textId="77777777" w:rsidR="009B5D0C" w:rsidRPr="00E1147F" w:rsidRDefault="009B5D0C" w:rsidP="0002334A">
      <w:pPr>
        <w:spacing w:after="0"/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</w:p>
    <w:p w14:paraId="503FF031" w14:textId="2F2BF6EB" w:rsidR="006F4539" w:rsidRDefault="0037455A" w:rsidP="00442816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442816">
        <w:rPr>
          <w:rFonts w:ascii="Times New Roman" w:eastAsia="Carlito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9DD427" wp14:editId="53E0C1EB">
            <wp:extent cx="3009900" cy="4067175"/>
            <wp:effectExtent l="0" t="0" r="0" b="0"/>
            <wp:docPr id="1073741829" name="officeArt object" descr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Рисунок 11" descr="Рисунок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06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5B4C1FB" w14:textId="556AFB91" w:rsidR="009F50FF" w:rsidRDefault="009F50FF" w:rsidP="009F50FF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1147F">
        <w:rPr>
          <w:rFonts w:ascii="Times New Roman" w:hAnsi="Times New Roman" w:cs="Times New Roman"/>
          <w:sz w:val="24"/>
          <w:szCs w:val="24"/>
          <w:lang w:val="ru-RU"/>
        </w:rPr>
        <w:t xml:space="preserve">Реставрация из </w:t>
      </w:r>
      <w:proofErr w:type="spellStart"/>
      <w:r w:rsidRPr="00E1147F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Pr="00E1147F">
        <w:rPr>
          <w:rFonts w:ascii="Times New Roman" w:hAnsi="Times New Roman" w:cs="Times New Roman"/>
          <w:sz w:val="24"/>
          <w:szCs w:val="24"/>
          <w:lang w:val="ru-RU"/>
        </w:rPr>
        <w:t xml:space="preserve"> лития </w:t>
      </w:r>
      <w:r w:rsidR="009F7554">
        <w:rPr>
          <w:rFonts w:ascii="Times New Roman" w:hAnsi="Times New Roman" w:cs="Times New Roman"/>
          <w:sz w:val="24"/>
          <w:szCs w:val="24"/>
          <w:lang w:val="ru-RU"/>
        </w:rPr>
        <w:t xml:space="preserve">зуба </w:t>
      </w:r>
      <w:r w:rsidRPr="00E1147F">
        <w:rPr>
          <w:rFonts w:ascii="Times New Roman" w:hAnsi="Times New Roman" w:cs="Times New Roman"/>
          <w:sz w:val="24"/>
          <w:szCs w:val="24"/>
          <w:lang w:val="ru-RU"/>
        </w:rPr>
        <w:t>2.4 с облицовкой полевошпатной керамикой</w:t>
      </w:r>
    </w:p>
    <w:p w14:paraId="22828916" w14:textId="2DD17F9E" w:rsidR="009F50FF" w:rsidRDefault="009F50FF" w:rsidP="009F50FF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1147F">
        <w:rPr>
          <w:rFonts w:ascii="Times New Roman" w:hAnsi="Times New Roman" w:cs="Times New Roman"/>
          <w:sz w:val="24"/>
          <w:szCs w:val="24"/>
          <w:lang w:val="ru-RU"/>
        </w:rPr>
        <w:t xml:space="preserve">. Облицованная реставрация из </w:t>
      </w:r>
      <w:proofErr w:type="spellStart"/>
      <w:r w:rsidRPr="00E1147F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Pr="00E1147F">
        <w:rPr>
          <w:rFonts w:ascii="Times New Roman" w:hAnsi="Times New Roman" w:cs="Times New Roman"/>
          <w:sz w:val="24"/>
          <w:szCs w:val="24"/>
          <w:lang w:val="ru-RU"/>
        </w:rPr>
        <w:t xml:space="preserve"> лития </w:t>
      </w:r>
      <w:r w:rsidR="009F7554">
        <w:rPr>
          <w:rFonts w:ascii="Times New Roman" w:hAnsi="Times New Roman" w:cs="Times New Roman"/>
          <w:sz w:val="24"/>
          <w:szCs w:val="24"/>
          <w:lang w:val="ru-RU"/>
        </w:rPr>
        <w:t xml:space="preserve">зуба </w:t>
      </w:r>
      <w:r w:rsidRPr="00E1147F">
        <w:rPr>
          <w:rFonts w:ascii="Times New Roman" w:hAnsi="Times New Roman" w:cs="Times New Roman"/>
          <w:sz w:val="24"/>
          <w:szCs w:val="24"/>
          <w:lang w:val="ru-RU"/>
        </w:rPr>
        <w:t>2.4 после фиксации</w:t>
      </w:r>
    </w:p>
    <w:p w14:paraId="2282BDE0" w14:textId="77777777" w:rsidR="009F50FF" w:rsidRDefault="009F50FF" w:rsidP="009F50FF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</w:p>
    <w:p w14:paraId="15B60C87" w14:textId="77777777" w:rsidR="00C825B3" w:rsidRPr="00E1147F" w:rsidRDefault="00C825B3" w:rsidP="00C825B3">
      <w:pPr>
        <w:spacing w:after="0"/>
        <w:ind w:left="-851" w:right="-772" w:firstLine="851"/>
        <w:jc w:val="both"/>
        <w:rPr>
          <w:rFonts w:ascii="Times New Roman" w:eastAsia="Carlito" w:hAnsi="Times New Roman" w:cs="Times New Roman"/>
          <w:sz w:val="24"/>
          <w:szCs w:val="24"/>
          <w:lang w:val="ru-RU"/>
        </w:rPr>
      </w:pPr>
      <w:r w:rsidRPr="00E1147F">
        <w:rPr>
          <w:rFonts w:ascii="Times New Roman" w:hAnsi="Times New Roman" w:cs="Times New Roman"/>
          <w:sz w:val="24"/>
          <w:szCs w:val="24"/>
          <w:lang w:val="ru-RU"/>
        </w:rPr>
        <w:t>Обратите внимание на улучшенную эстетику, имитирующую естественные особенности поверхности зубов пациента.</w:t>
      </w:r>
    </w:p>
    <w:p w14:paraId="7FF4CF8B" w14:textId="77777777" w:rsidR="009F50FF" w:rsidRDefault="009F50FF" w:rsidP="00AA3AC9">
      <w:pPr>
        <w:ind w:left="-851" w:right="-772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49FDDC" w14:textId="04D1CEBD" w:rsidR="006F4539" w:rsidRPr="00442816" w:rsidRDefault="0037455A" w:rsidP="00AA3AC9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Дисиликат</w:t>
      </w:r>
      <w:proofErr w:type="spellEnd"/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лития</w:t>
      </w:r>
    </w:p>
    <w:p w14:paraId="229C966C" w14:textId="12D300B5" w:rsidR="006F4539" w:rsidRPr="00442816" w:rsidRDefault="0037455A" w:rsidP="00AA3AC9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IPS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Empress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II (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, Лихтенштейн) была первой стоматологической керамикой, в которой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дисиликат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лития (70% объема) был включен в качестве поликристалла для упрочнения стеклянной матрицы. В результате была получена реставрация в три раза большей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прочностью на изгиб, чем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лейцитовая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керамика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Empress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с высокой концентрацией (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, Лихтенштейн). Керамика IPS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e.max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® (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, Лихтенштейн) заменила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Empress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II в 2006 году.15 IPS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e.max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® - стоматологическая керамика на основе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лития, которую можно формовать путем обработки с помощью CAD/CAM или прессованием керамического слитка (</w:t>
      </w:r>
      <w:r w:rsidR="001B683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B6833">
        <w:rPr>
          <w:rFonts w:ascii="Times New Roman" w:hAnsi="Times New Roman" w:cs="Times New Roman"/>
          <w:sz w:val="24"/>
          <w:szCs w:val="24"/>
          <w:lang w:val="ru-RU"/>
        </w:rPr>
        <w:t xml:space="preserve">сунок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6). IPS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e.max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® можно использовать для реставраций как передних, так и боковых зубов. </w:t>
      </w:r>
    </w:p>
    <w:p w14:paraId="6C437B3B" w14:textId="5E8AEADA" w:rsidR="006F4539" w:rsidRPr="00442816" w:rsidRDefault="0037455A" w:rsidP="00AA3AC9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Как и в случае с фарфором на основе полевого шпата и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лейцитовой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керамикой с высокой концентрацией, стекловидная матрица может быть протравлена плавиковой кислотой. Затем реставрации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силанизируют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Monobond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Plus (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, Лихтенштейн) в течение 60 секунд с последующим нанесением адгезивного цемента на основе смолы для сцепления с эмалью. Адгезивная фиксация может повысить прочность реставрации [16</w:t>
      </w:r>
      <w:r w:rsidR="001B683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], и при условии, что реставрация в пределах эмали, потребность в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ретенционной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устойчивой форме может быть уменьшена. Это позволяет проводить минимально инвазивную подготовку зубов под виниры и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onlay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реставрации.</w:t>
      </w:r>
    </w:p>
    <w:p w14:paraId="73DB8A01" w14:textId="2641C51B" w:rsidR="006F4539" w:rsidRDefault="0037455A" w:rsidP="00AA3AC9">
      <w:pPr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Производители указывают, что этот тип керамики достаточно прочен для трех модульных мостовидных протезов, использующих вторые премоляры в качестве дистальной опоры. Систематический обзор, однако, показал, что мосты из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дисиликата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лития имеют пяти- и десятилетнюю выживаемость 78,1% и 70,9% соответственно [17</w:t>
      </w:r>
      <w:r w:rsidR="00AA3AC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A3A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335ABD" w14:textId="10E3A926" w:rsidR="0002334A" w:rsidRDefault="0002334A" w:rsidP="00BD7F52">
      <w:pPr>
        <w:spacing w:after="0"/>
        <w:ind w:left="-851" w:right="-772"/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r w:rsidRPr="0015448A">
        <w:rPr>
          <w:rFonts w:ascii="Times New Roman" w:hAnsi="Times New Roman" w:cs="Times New Roman"/>
          <w:sz w:val="24"/>
          <w:szCs w:val="24"/>
          <w:lang w:val="ru-RU"/>
        </w:rPr>
        <w:t>Рисунок 6.</w:t>
      </w:r>
      <w:r w:rsidR="00BD7F52" w:rsidRPr="00154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448A" w:rsidRPr="0015448A">
        <w:rPr>
          <w:rStyle w:val="s1"/>
          <w:rFonts w:ascii="Times New Roman" w:hAnsi="Times New Roman" w:cs="Times New Roman"/>
          <w:sz w:val="24"/>
          <w:szCs w:val="24"/>
        </w:rPr>
        <w:t>Коронки</w:t>
      </w:r>
      <w:proofErr w:type="spellEnd"/>
      <w:r w:rsidR="0015448A" w:rsidRPr="0015448A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48A" w:rsidRPr="0015448A">
        <w:rPr>
          <w:rStyle w:val="s1"/>
          <w:rFonts w:ascii="Times New Roman" w:hAnsi="Times New Roman" w:cs="Times New Roman"/>
          <w:sz w:val="24"/>
          <w:szCs w:val="24"/>
        </w:rPr>
        <w:t>из</w:t>
      </w:r>
      <w:proofErr w:type="spellEnd"/>
      <w:r w:rsidR="0015448A" w:rsidRPr="0015448A">
        <w:rPr>
          <w:rStyle w:val="s1"/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15448A" w:rsidRPr="0015448A">
        <w:rPr>
          <w:rStyle w:val="s1"/>
          <w:rFonts w:ascii="Times New Roman" w:hAnsi="Times New Roman" w:cs="Times New Roman"/>
          <w:sz w:val="24"/>
          <w:szCs w:val="24"/>
        </w:rPr>
        <w:t>e.max</w:t>
      </w:r>
      <w:proofErr w:type="spellEnd"/>
    </w:p>
    <w:p w14:paraId="08DCC497" w14:textId="77777777" w:rsidR="0015448A" w:rsidRPr="0015448A" w:rsidRDefault="0015448A" w:rsidP="00BD7F52">
      <w:pPr>
        <w:spacing w:after="0"/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484A4711" w14:textId="62FC8A24" w:rsidR="006F4539" w:rsidRDefault="0037455A" w:rsidP="00442816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</w:rPr>
      </w:pPr>
      <w:r w:rsidRPr="00442816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707C47D5" wp14:editId="6ADCB30F">
            <wp:extent cx="5274310" cy="2225675"/>
            <wp:effectExtent l="0" t="0" r="0" b="0"/>
            <wp:docPr id="1073741830" name="officeArt object" descr="Изображение выглядит как внутренний, металлоизделия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Изображение выглядит как внутренний, металлоизделияАвтоматически созданное описание" descr="Изображение выглядит как внутренний, металлоизделия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5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BEA294" w14:textId="77777777" w:rsidR="009F50FF" w:rsidRPr="009F50FF" w:rsidRDefault="009F50FF" w:rsidP="009F50FF">
      <w:pPr>
        <w:spacing w:after="0"/>
        <w:ind w:left="-851" w:right="-7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F50FF">
        <w:rPr>
          <w:rFonts w:ascii="Times New Roman" w:hAnsi="Times New Roman" w:cs="Times New Roman"/>
          <w:sz w:val="24"/>
          <w:szCs w:val="24"/>
        </w:rPr>
        <w:t xml:space="preserve">. 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>Слиток</w:t>
      </w:r>
      <w:r w:rsidRPr="009F50FF">
        <w:rPr>
          <w:rFonts w:ascii="Times New Roman" w:hAnsi="Times New Roman" w:cs="Times New Roman"/>
          <w:sz w:val="24"/>
          <w:szCs w:val="24"/>
        </w:rPr>
        <w:t xml:space="preserve"> </w:t>
      </w:r>
      <w:r w:rsidRPr="0002334A">
        <w:rPr>
          <w:rFonts w:ascii="Times New Roman" w:hAnsi="Times New Roman" w:cs="Times New Roman"/>
          <w:sz w:val="24"/>
          <w:szCs w:val="24"/>
        </w:rPr>
        <w:t>IPS</w:t>
      </w:r>
      <w:r w:rsidRPr="009F5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4A">
        <w:rPr>
          <w:rFonts w:ascii="Times New Roman" w:hAnsi="Times New Roman" w:cs="Times New Roman"/>
          <w:sz w:val="24"/>
          <w:szCs w:val="24"/>
        </w:rPr>
        <w:t>e</w:t>
      </w:r>
      <w:r w:rsidRPr="009F50FF">
        <w:rPr>
          <w:rFonts w:ascii="Times New Roman" w:hAnsi="Times New Roman" w:cs="Times New Roman"/>
          <w:sz w:val="24"/>
          <w:szCs w:val="24"/>
        </w:rPr>
        <w:t>.</w:t>
      </w:r>
      <w:r w:rsidRPr="0002334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9F50FF">
        <w:rPr>
          <w:rFonts w:ascii="Times New Roman" w:hAnsi="Times New Roman" w:cs="Times New Roman"/>
          <w:sz w:val="24"/>
          <w:szCs w:val="24"/>
        </w:rPr>
        <w:t>® (</w:t>
      </w:r>
      <w:proofErr w:type="spellStart"/>
      <w:r w:rsidRPr="0002334A">
        <w:rPr>
          <w:rFonts w:ascii="Times New Roman" w:hAnsi="Times New Roman" w:cs="Times New Roman"/>
          <w:sz w:val="24"/>
          <w:szCs w:val="24"/>
        </w:rPr>
        <w:t>Ivoclar</w:t>
      </w:r>
      <w:proofErr w:type="spellEnd"/>
      <w:r w:rsidRPr="009F5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4A">
        <w:rPr>
          <w:rFonts w:ascii="Times New Roman" w:hAnsi="Times New Roman" w:cs="Times New Roman"/>
          <w:sz w:val="24"/>
          <w:szCs w:val="24"/>
        </w:rPr>
        <w:t>Vivadent</w:t>
      </w:r>
      <w:proofErr w:type="spellEnd"/>
      <w:r w:rsidRPr="009F50FF">
        <w:rPr>
          <w:rFonts w:ascii="Times New Roman" w:hAnsi="Times New Roman" w:cs="Times New Roman"/>
          <w:sz w:val="24"/>
          <w:szCs w:val="24"/>
        </w:rPr>
        <w:t xml:space="preserve">, 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>Лихтенштейн</w:t>
      </w:r>
      <w:r w:rsidRPr="009F50FF">
        <w:rPr>
          <w:rFonts w:ascii="Times New Roman" w:hAnsi="Times New Roman" w:cs="Times New Roman"/>
          <w:sz w:val="24"/>
          <w:szCs w:val="24"/>
        </w:rPr>
        <w:t>)</w:t>
      </w:r>
    </w:p>
    <w:p w14:paraId="1A6FD2EC" w14:textId="77777777" w:rsidR="009F50FF" w:rsidRDefault="009F50FF" w:rsidP="009F50FF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 xml:space="preserve">. Смоделированные воском коронки из IPS </w:t>
      </w:r>
      <w:proofErr w:type="spellStart"/>
      <w:r w:rsidRPr="0002334A">
        <w:rPr>
          <w:rFonts w:ascii="Times New Roman" w:hAnsi="Times New Roman" w:cs="Times New Roman"/>
          <w:sz w:val="24"/>
          <w:szCs w:val="24"/>
          <w:lang w:val="ru-RU"/>
        </w:rPr>
        <w:t>e.max</w:t>
      </w:r>
      <w:proofErr w:type="spellEnd"/>
      <w:r w:rsidRPr="0002334A">
        <w:rPr>
          <w:rFonts w:ascii="Times New Roman" w:hAnsi="Times New Roman" w:cs="Times New Roman"/>
          <w:sz w:val="24"/>
          <w:szCs w:val="24"/>
          <w:lang w:val="ru-RU"/>
        </w:rPr>
        <w:t>® (</w:t>
      </w:r>
      <w:proofErr w:type="spellStart"/>
      <w:r w:rsidRPr="0002334A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023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334A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02334A">
        <w:rPr>
          <w:rFonts w:ascii="Times New Roman" w:hAnsi="Times New Roman" w:cs="Times New Roman"/>
          <w:sz w:val="24"/>
          <w:szCs w:val="24"/>
          <w:lang w:val="ru-RU"/>
        </w:rPr>
        <w:t>, Лихтенштейн), готовые к прессованию</w:t>
      </w:r>
    </w:p>
    <w:p w14:paraId="4EFB6254" w14:textId="77777777" w:rsidR="009F50FF" w:rsidRPr="0002334A" w:rsidRDefault="009F50FF" w:rsidP="009F50FF">
      <w:pPr>
        <w:spacing w:after="0"/>
        <w:ind w:left="-851" w:right="-772"/>
        <w:rPr>
          <w:rFonts w:ascii="Times New Roman" w:eastAsia="Carlito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 xml:space="preserve">оронки из IPS </w:t>
      </w:r>
      <w:proofErr w:type="spellStart"/>
      <w:r w:rsidRPr="0002334A">
        <w:rPr>
          <w:rFonts w:ascii="Times New Roman" w:hAnsi="Times New Roman" w:cs="Times New Roman"/>
          <w:sz w:val="24"/>
          <w:szCs w:val="24"/>
          <w:lang w:val="ru-RU"/>
        </w:rPr>
        <w:t>e.max</w:t>
      </w:r>
      <w:proofErr w:type="spellEnd"/>
      <w:r w:rsidRPr="0002334A">
        <w:rPr>
          <w:rFonts w:ascii="Times New Roman" w:hAnsi="Times New Roman" w:cs="Times New Roman"/>
          <w:sz w:val="24"/>
          <w:szCs w:val="24"/>
          <w:lang w:val="ru-RU"/>
        </w:rPr>
        <w:t>® (</w:t>
      </w:r>
      <w:proofErr w:type="spellStart"/>
      <w:r w:rsidRPr="0002334A">
        <w:rPr>
          <w:rFonts w:ascii="Times New Roman" w:hAnsi="Times New Roman" w:cs="Times New Roman"/>
          <w:sz w:val="24"/>
          <w:szCs w:val="24"/>
          <w:lang w:val="ru-RU"/>
        </w:rPr>
        <w:t>Ivoclar</w:t>
      </w:r>
      <w:proofErr w:type="spellEnd"/>
      <w:r w:rsidRPr="00023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334A">
        <w:rPr>
          <w:rFonts w:ascii="Times New Roman" w:hAnsi="Times New Roman" w:cs="Times New Roman"/>
          <w:sz w:val="24"/>
          <w:szCs w:val="24"/>
          <w:lang w:val="ru-RU"/>
        </w:rPr>
        <w:t>Vivadent</w:t>
      </w:r>
      <w:proofErr w:type="spellEnd"/>
      <w:r w:rsidRPr="0002334A">
        <w:rPr>
          <w:rFonts w:ascii="Times New Roman" w:hAnsi="Times New Roman" w:cs="Times New Roman"/>
          <w:sz w:val="24"/>
          <w:szCs w:val="24"/>
          <w:lang w:val="ru-RU"/>
        </w:rPr>
        <w:t>, Лихтенштейн)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>готовы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2334A">
        <w:rPr>
          <w:rFonts w:ascii="Times New Roman" w:hAnsi="Times New Roman" w:cs="Times New Roman"/>
          <w:sz w:val="24"/>
          <w:szCs w:val="24"/>
          <w:lang w:val="ru-RU"/>
        </w:rPr>
        <w:t xml:space="preserve"> к прессованию</w:t>
      </w:r>
    </w:p>
    <w:p w14:paraId="0D4C64AB" w14:textId="77777777" w:rsidR="009F50FF" w:rsidRPr="009F50FF" w:rsidRDefault="009F50FF" w:rsidP="00442816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798760E5" w14:textId="6BA657C5" w:rsidR="006F4539" w:rsidRPr="0002334A" w:rsidRDefault="0037455A" w:rsidP="0002334A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02334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Оксид алюминия</w:t>
      </w:r>
    </w:p>
    <w:p w14:paraId="599D3C7B" w14:textId="1AD306A5" w:rsidR="006F4539" w:rsidRPr="00442816" w:rsidRDefault="0037455A" w:rsidP="0002334A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Оксид алюминия можно использовать для упрочнения матрицы из стеклокерамики путем вливания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лантанового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стекла в пористую сердцевину, состоящую из частично спеченных поликристаллов, состоящих из оксида алюминия [11</w:t>
      </w:r>
      <w:r w:rsidR="0002334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233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получается материал для основы, который затем требует покрытия для эстетического вида. Популярной маркой оксида алюминия наполненный стеклом является In-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Ceram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Alumina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(VITA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Zahnfabrik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, Бад-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Зекинген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lastRenderedPageBreak/>
        <w:t>Германия). Основы In-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Ceram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из оксида алюминия (VITA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Zahnfabrik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, Бад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Зекинген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, Германия) популярны у некоторых стоматологов, когда требуется высокопрочная основа. В качестве альтернативы некоторые стоматологи в таких случаях предпочитают сердцевину из плотно спеченной поликристаллической керамики из диоксида циркония.</w:t>
      </w:r>
    </w:p>
    <w:p w14:paraId="2D79E27A" w14:textId="77777777" w:rsidR="006F4539" w:rsidRPr="00D213F7" w:rsidRDefault="0037455A" w:rsidP="00D213F7">
      <w:pPr>
        <w:ind w:left="-851" w:right="-772" w:firstLine="851"/>
        <w:jc w:val="both"/>
        <w:rPr>
          <w:rFonts w:ascii="Times New Roman" w:eastAsia="Calibri Light" w:hAnsi="Times New Roman" w:cs="Times New Roman"/>
          <w:b/>
          <w:bCs/>
          <w:sz w:val="24"/>
          <w:szCs w:val="24"/>
          <w:lang w:val="ru-RU"/>
        </w:rPr>
      </w:pPr>
      <w:r w:rsidRPr="00D213F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Поликристаллическая стоматологическая керамика</w:t>
      </w:r>
    </w:p>
    <w:p w14:paraId="1ED54566" w14:textId="77777777" w:rsidR="00E30EB3" w:rsidRDefault="0037455A" w:rsidP="00E30EB3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Поликристаллическая стоматологическая керамика не имеет стекловидных компонентов. Как правило, они намного жестче и прочнее стеклокерамики. До появления автоматизированного производства было невозможно получить подходящие реставрации из поликристаллической керамики [14</w:t>
      </w:r>
      <w:r w:rsidR="00D213F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213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Диоксид циркония и оксид алюминия являются основными соединениями, используемыми для создания поликристаллической стоматологической керамики.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Procera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® (Nobel </w:t>
      </w:r>
      <w:proofErr w:type="spellStart"/>
      <w:r w:rsidRPr="00442816">
        <w:rPr>
          <w:rFonts w:ascii="Times New Roman" w:hAnsi="Times New Roman" w:cs="Times New Roman"/>
          <w:sz w:val="24"/>
          <w:szCs w:val="24"/>
          <w:lang w:val="ru-RU"/>
        </w:rPr>
        <w:t>Biocare</w:t>
      </w:r>
      <w:proofErr w:type="spellEnd"/>
      <w:r w:rsidRPr="00442816">
        <w:rPr>
          <w:rFonts w:ascii="Times New Roman" w:hAnsi="Times New Roman" w:cs="Times New Roman"/>
          <w:sz w:val="24"/>
          <w:szCs w:val="24"/>
          <w:lang w:val="ru-RU"/>
        </w:rPr>
        <w:t>, Швеция) является одним из таких примеров. Впервые в 1993 году он описывается как «плотно спеченный оксид алюминия высокой чистоты, покрытый керамикой» [18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Поликристаллическая керамика на основе оксида алюминия сейчас используется гораздо реже, учитывая возросшую популярность более прочных реставраций на основе диоксида циркония.</w:t>
      </w:r>
    </w:p>
    <w:p w14:paraId="5FB64833" w14:textId="7CC7FA2B" w:rsidR="006F4539" w:rsidRPr="00442816" w:rsidRDefault="0037455A" w:rsidP="00E30EB3">
      <w:pPr>
        <w:spacing w:after="0"/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Ранние монолитные материалы из диоксида циркония имели прочность на изгиб до 1400 МПа, но им не хватало прозрачности, необходимой для превосходных эстетических результатов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[19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Их использование в основном ограничивалось задними зубами. С другой стороны, многослойные реставрации из диоксида циркония (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7) имеют улучшенный эстетический вид, но имеют высокий уровень сколов облицовочной керамики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[20,21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2A39AB" w14:textId="589340BD" w:rsidR="00E30EB3" w:rsidRDefault="0037455A" w:rsidP="00E30EB3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Новые поколения диоксида циркония с добавлением большего количества оксида иттрия имеют улучшения в полупрозрачности, но они менее чем вдвое ниже прочности на изгиб исходной тетрагональной поликристаллической керамики из диоксида циркония, стабилизированной оксидом иттрия [22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972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277BF0" w14:textId="77777777" w:rsidR="0015448A" w:rsidRDefault="0015448A" w:rsidP="00E30EB3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02C2C9" w14:textId="6C526C0F" w:rsidR="00440480" w:rsidRPr="0015448A" w:rsidRDefault="00440480" w:rsidP="00440480">
      <w:pPr>
        <w:spacing w:after="0"/>
        <w:ind w:left="-851" w:right="-772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448A">
        <w:rPr>
          <w:rFonts w:ascii="Times New Roman" w:hAnsi="Times New Roman" w:cs="Times New Roman"/>
          <w:sz w:val="24"/>
          <w:szCs w:val="24"/>
          <w:lang w:val="ru-RU"/>
        </w:rPr>
        <w:t>Рисунок 7.</w:t>
      </w:r>
      <w:r w:rsidR="009076AD" w:rsidRPr="00154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48A" w:rsidRPr="0015448A">
        <w:rPr>
          <w:rStyle w:val="s1"/>
          <w:rFonts w:ascii="Times New Roman" w:hAnsi="Times New Roman" w:cs="Times New Roman"/>
          <w:sz w:val="24"/>
          <w:szCs w:val="24"/>
          <w:lang w:val="ru-RU"/>
        </w:rPr>
        <w:t>Коронка</w:t>
      </w:r>
      <w:r w:rsidR="00CF403E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зуба 1.1</w:t>
      </w:r>
      <w:r w:rsidR="0015448A" w:rsidRPr="0015448A">
        <w:rPr>
          <w:rStyle w:val="s1"/>
          <w:rFonts w:ascii="Times New Roman" w:hAnsi="Times New Roman" w:cs="Times New Roman"/>
          <w:sz w:val="24"/>
          <w:szCs w:val="24"/>
          <w:lang w:val="ru-RU"/>
        </w:rPr>
        <w:t xml:space="preserve"> из диоксида циркония, облицованная керамикой</w:t>
      </w:r>
    </w:p>
    <w:p w14:paraId="2264B2C5" w14:textId="77777777" w:rsidR="009076AD" w:rsidRDefault="009076AD" w:rsidP="00440480">
      <w:pPr>
        <w:spacing w:after="0"/>
        <w:ind w:left="-851" w:right="-772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F44565" w14:textId="7E4D4122" w:rsidR="006F4539" w:rsidRDefault="0037455A" w:rsidP="00440480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2FCE29E1" wp14:editId="2F9C90E8">
            <wp:extent cx="2406650" cy="3422650"/>
            <wp:effectExtent l="0" t="0" r="0" b="6350"/>
            <wp:docPr id="1073741831" name="officeArt object" descr="Изображение выглядит как другой, пластмассовый, несколько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Изображение выглядит как другой, пластмассовый, несколькоАвтоматически созданное описание" descr="Изображение выглядит как другой, пластмассовый, несколько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42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119975" w14:textId="3B84A45F" w:rsidR="00F20E62" w:rsidRDefault="00440480" w:rsidP="00F20E62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  <w:r w:rsidRPr="00E30EB3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E30EB3">
        <w:rPr>
          <w:rFonts w:ascii="Times New Roman" w:hAnsi="Times New Roman" w:cs="Times New Roman"/>
          <w:sz w:val="24"/>
          <w:szCs w:val="24"/>
          <w:lang w:val="ru-RU"/>
        </w:rPr>
        <w:t>. Реставрация коронкой из диоксида циркония</w:t>
      </w:r>
      <w:r w:rsidR="006561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30EB3">
        <w:rPr>
          <w:rFonts w:ascii="Times New Roman" w:hAnsi="Times New Roman" w:cs="Times New Roman"/>
          <w:sz w:val="24"/>
          <w:szCs w:val="24"/>
          <w:lang w:val="ru-RU"/>
        </w:rPr>
        <w:t xml:space="preserve"> облицованная полевошпатной керамикой с опорой на имплантат</w:t>
      </w:r>
    </w:p>
    <w:p w14:paraId="212AEB5D" w14:textId="6EC7B13F" w:rsidR="00F20E62" w:rsidRPr="00CF403E" w:rsidRDefault="00440480" w:rsidP="00F20E62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  <w:r w:rsidRPr="00E30EB3">
        <w:rPr>
          <w:rFonts w:ascii="Times New Roman" w:hAnsi="Times New Roman" w:cs="Times New Roman"/>
          <w:sz w:val="24"/>
          <w:szCs w:val="24"/>
        </w:rPr>
        <w:t>b</w:t>
      </w:r>
      <w:r w:rsidRPr="00CF403E">
        <w:rPr>
          <w:rFonts w:ascii="Times New Roman" w:hAnsi="Times New Roman" w:cs="Times New Roman"/>
          <w:sz w:val="24"/>
          <w:szCs w:val="24"/>
          <w:lang w:val="ru-RU"/>
        </w:rPr>
        <w:t>. До</w:t>
      </w:r>
      <w:r w:rsidR="006561DA">
        <w:rPr>
          <w:rFonts w:ascii="Times New Roman" w:hAnsi="Times New Roman" w:cs="Times New Roman"/>
          <w:sz w:val="24"/>
          <w:szCs w:val="24"/>
          <w:lang w:val="ru-RU"/>
        </w:rPr>
        <w:t xml:space="preserve"> реставрации зуба</w:t>
      </w:r>
      <w:r w:rsidRPr="00CF403E">
        <w:rPr>
          <w:rFonts w:ascii="Times New Roman" w:hAnsi="Times New Roman" w:cs="Times New Roman"/>
          <w:sz w:val="24"/>
          <w:szCs w:val="24"/>
          <w:lang w:val="ru-RU"/>
        </w:rPr>
        <w:t xml:space="preserve"> 1.1</w:t>
      </w:r>
    </w:p>
    <w:p w14:paraId="32E125D0" w14:textId="2BC54326" w:rsidR="00440480" w:rsidRDefault="00440480" w:rsidP="00F20E62">
      <w:pPr>
        <w:spacing w:after="0"/>
        <w:ind w:left="-851" w:right="-772"/>
        <w:rPr>
          <w:rFonts w:ascii="Times New Roman" w:hAnsi="Times New Roman" w:cs="Times New Roman"/>
          <w:sz w:val="24"/>
          <w:szCs w:val="24"/>
          <w:lang w:val="ru-RU"/>
        </w:rPr>
      </w:pPr>
      <w:r w:rsidRPr="00CF403E">
        <w:rPr>
          <w:rFonts w:ascii="Times New Roman" w:hAnsi="Times New Roman" w:cs="Times New Roman"/>
          <w:sz w:val="24"/>
          <w:szCs w:val="24"/>
        </w:rPr>
        <w:t>c</w:t>
      </w:r>
      <w:r w:rsidRPr="00CF403E">
        <w:rPr>
          <w:rFonts w:ascii="Times New Roman" w:hAnsi="Times New Roman" w:cs="Times New Roman"/>
          <w:sz w:val="24"/>
          <w:szCs w:val="24"/>
          <w:lang w:val="ru-RU"/>
        </w:rPr>
        <w:t>. После</w:t>
      </w:r>
      <w:r w:rsidR="006561DA">
        <w:rPr>
          <w:rFonts w:ascii="Times New Roman" w:hAnsi="Times New Roman" w:cs="Times New Roman"/>
          <w:sz w:val="24"/>
          <w:szCs w:val="24"/>
          <w:lang w:val="ru-RU"/>
        </w:rPr>
        <w:t xml:space="preserve"> реставрации зуба</w:t>
      </w:r>
      <w:r w:rsidRPr="00CF403E">
        <w:rPr>
          <w:rFonts w:ascii="Times New Roman" w:hAnsi="Times New Roman" w:cs="Times New Roman"/>
          <w:sz w:val="24"/>
          <w:szCs w:val="24"/>
          <w:lang w:val="ru-RU"/>
        </w:rPr>
        <w:t xml:space="preserve"> 1.1</w:t>
      </w:r>
      <w:r w:rsidRPr="00E30EB3">
        <w:rPr>
          <w:rFonts w:ascii="Times New Roman" w:hAnsi="Times New Roman" w:cs="Times New Roman"/>
          <w:sz w:val="24"/>
          <w:szCs w:val="24"/>
          <w:lang w:val="ru-RU"/>
        </w:rPr>
        <w:t xml:space="preserve"> коронкой из диоксида циркония</w:t>
      </w:r>
      <w:r w:rsidR="006561D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0EB3">
        <w:rPr>
          <w:rFonts w:ascii="Times New Roman" w:hAnsi="Times New Roman" w:cs="Times New Roman"/>
          <w:sz w:val="24"/>
          <w:szCs w:val="24"/>
          <w:lang w:val="ru-RU"/>
        </w:rPr>
        <w:t>облицованн</w:t>
      </w:r>
      <w:r w:rsidR="006561D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30EB3">
        <w:rPr>
          <w:rFonts w:ascii="Times New Roman" w:hAnsi="Times New Roman" w:cs="Times New Roman"/>
          <w:sz w:val="24"/>
          <w:szCs w:val="24"/>
          <w:lang w:val="ru-RU"/>
        </w:rPr>
        <w:t xml:space="preserve"> полевошпатной керамикой после фиксации</w:t>
      </w:r>
    </w:p>
    <w:p w14:paraId="5FF16B26" w14:textId="77777777" w:rsidR="00F20E62" w:rsidRPr="001D6C24" w:rsidRDefault="00F20E62" w:rsidP="00F20E62">
      <w:pPr>
        <w:spacing w:after="0"/>
        <w:ind w:left="-851" w:right="-772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75A0ED3D" w14:textId="77777777" w:rsidR="006F4539" w:rsidRPr="00442816" w:rsidRDefault="0037455A" w:rsidP="00A378D2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 выживаемости</w:t>
      </w:r>
    </w:p>
    <w:p w14:paraId="39BA229D" w14:textId="659D626B" w:rsidR="006F4539" w:rsidRPr="00442816" w:rsidRDefault="0037455A" w:rsidP="00A378D2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sz w:val="24"/>
          <w:szCs w:val="24"/>
          <w:lang w:val="ru-RU"/>
        </w:rPr>
        <w:t>Пятилетняя выживаемость для различных типов керамических реставраций</w:t>
      </w:r>
      <w:r w:rsidR="00E30E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EB3" w:rsidRPr="00442816">
        <w:rPr>
          <w:rFonts w:ascii="Times New Roman" w:hAnsi="Times New Roman" w:cs="Times New Roman"/>
          <w:sz w:val="24"/>
          <w:szCs w:val="24"/>
          <w:lang w:val="ru-RU"/>
        </w:rPr>
        <w:t>[27</w:t>
      </w:r>
      <w:r w:rsidR="00E30EB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E30EB3" w:rsidRPr="00442816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 показана в </w:t>
      </w:r>
      <w:r w:rsidR="00E30E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42816">
        <w:rPr>
          <w:rFonts w:ascii="Times New Roman" w:hAnsi="Times New Roman" w:cs="Times New Roman"/>
          <w:sz w:val="24"/>
          <w:szCs w:val="24"/>
          <w:lang w:val="ru-RU"/>
        </w:rPr>
        <w:t xml:space="preserve">аблице 1. </w:t>
      </w:r>
    </w:p>
    <w:p w14:paraId="34CEB8C7" w14:textId="5B9BC48C" w:rsidR="006F4539" w:rsidRPr="000F43B1" w:rsidRDefault="0037455A" w:rsidP="00442816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  <w:r w:rsidRPr="000F43B1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E30EB3" w:rsidRPr="000F43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F43B1">
        <w:rPr>
          <w:rFonts w:ascii="Times New Roman" w:hAnsi="Times New Roman" w:cs="Times New Roman"/>
          <w:sz w:val="24"/>
          <w:szCs w:val="24"/>
          <w:lang w:val="ru-RU"/>
        </w:rPr>
        <w:t xml:space="preserve"> Пятилетняя выживаемость для различных типов керамических реставраций</w:t>
      </w:r>
    </w:p>
    <w:tbl>
      <w:tblPr>
        <w:tblStyle w:val="TableNormal"/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3119"/>
      </w:tblGrid>
      <w:tr w:rsidR="006F4539" w:rsidRPr="00442816" w14:paraId="7CB6511C" w14:textId="77777777" w:rsidTr="00393190">
        <w:trPr>
          <w:trHeight w:val="11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78AA" w14:textId="77777777" w:rsidR="006F4539" w:rsidRPr="00442816" w:rsidRDefault="0037455A" w:rsidP="00393190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442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цельнокерамической</w:t>
            </w:r>
            <w:proofErr w:type="spellEnd"/>
            <w:r w:rsidRPr="00442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реставрации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11D0" w14:textId="77777777" w:rsidR="006F4539" w:rsidRPr="00442816" w:rsidRDefault="0037455A" w:rsidP="0039319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исследований, включенных в метаанализ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1C60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Расчетная пятилетняя выживаемость</w:t>
            </w:r>
          </w:p>
        </w:tc>
      </w:tr>
      <w:tr w:rsidR="006F4539" w:rsidRPr="00442816" w14:paraId="3621B5B4" w14:textId="77777777" w:rsidTr="00393190">
        <w:trPr>
          <w:trHeight w:val="5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28EE3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Керамика на основе полевого шпата или кремнезема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09412" w14:textId="77777777" w:rsidR="006F4539" w:rsidRPr="00442816" w:rsidRDefault="0037455A" w:rsidP="0039319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D6F40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90.7%</w:t>
            </w:r>
          </w:p>
        </w:tc>
      </w:tr>
      <w:tr w:rsidR="006F4539" w:rsidRPr="00442816" w14:paraId="25891FA1" w14:textId="77777777" w:rsidTr="00393190">
        <w:trPr>
          <w:trHeight w:val="8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90DC" w14:textId="4AC058DF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Стеклокерамика, армированная лейцитом/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дисиликатом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612ED" w14:textId="77777777" w:rsidR="006F4539" w:rsidRPr="00442816" w:rsidRDefault="0037455A" w:rsidP="0039319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E11D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96.9%</w:t>
            </w:r>
          </w:p>
        </w:tc>
      </w:tr>
      <w:tr w:rsidR="006F4539" w:rsidRPr="00442816" w14:paraId="295975E9" w14:textId="77777777" w:rsidTr="00393190">
        <w:trPr>
          <w:trHeight w:val="5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F3457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Оксид алюминия</w:t>
            </w:r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пропитанный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стеклом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7A0B5" w14:textId="77777777" w:rsidR="006F4539" w:rsidRPr="00442816" w:rsidRDefault="0037455A" w:rsidP="0039319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D14F3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94.6%</w:t>
            </w:r>
          </w:p>
        </w:tc>
      </w:tr>
      <w:tr w:rsidR="006F4539" w:rsidRPr="00442816" w14:paraId="00441287" w14:textId="77777777" w:rsidTr="00393190">
        <w:trPr>
          <w:trHeight w:val="5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D37FF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спеченный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оксид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A0EFF" w14:textId="77777777" w:rsidR="006F4539" w:rsidRPr="00442816" w:rsidRDefault="0037455A" w:rsidP="0039319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E32EB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96%</w:t>
            </w:r>
          </w:p>
        </w:tc>
      </w:tr>
      <w:tr w:rsidR="006F4539" w:rsidRPr="00442816" w14:paraId="509A7596" w14:textId="77777777" w:rsidTr="00393190">
        <w:trPr>
          <w:trHeight w:val="55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7E83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спеченный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диоксид</w:t>
            </w:r>
            <w:proofErr w:type="spellEnd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816">
              <w:rPr>
                <w:rFonts w:ascii="Times New Roman" w:hAnsi="Times New Roman" w:cs="Times New Roman"/>
                <w:sz w:val="24"/>
                <w:szCs w:val="24"/>
              </w:rPr>
              <w:t>циркония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4DA5" w14:textId="77777777" w:rsidR="006F4539" w:rsidRPr="00442816" w:rsidRDefault="0037455A" w:rsidP="0039319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83EF" w14:textId="77777777" w:rsidR="006F4539" w:rsidRPr="00442816" w:rsidRDefault="0037455A" w:rsidP="0039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93.8%</w:t>
            </w:r>
          </w:p>
        </w:tc>
      </w:tr>
    </w:tbl>
    <w:p w14:paraId="509DEECE" w14:textId="77777777" w:rsidR="006F4539" w:rsidRPr="00442816" w:rsidRDefault="006F4539" w:rsidP="00442816">
      <w:pPr>
        <w:widowControl w:val="0"/>
        <w:spacing w:line="240" w:lineRule="auto"/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</w:p>
    <w:p w14:paraId="7130706F" w14:textId="77777777" w:rsidR="006F4539" w:rsidRPr="00442816" w:rsidRDefault="0037455A" w:rsidP="00A378D2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44281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5990FEF8" w14:textId="3FC3AFC5" w:rsidR="00560C5D" w:rsidRPr="00515BF7" w:rsidRDefault="00560C5D" w:rsidP="00560C5D">
      <w:pPr>
        <w:spacing w:line="240" w:lineRule="auto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BF7">
        <w:rPr>
          <w:rFonts w:ascii="Times New Roman" w:hAnsi="Times New Roman" w:cs="Times New Roman"/>
          <w:sz w:val="24"/>
          <w:szCs w:val="24"/>
          <w:lang w:val="ru-RU"/>
        </w:rPr>
        <w:t>Известно, что среди материалов для коронок реставрации из литого золотого сплава обеспечивают чрезвычайно предсказуемую долгосрочную клиническую службу - показатель выживаемости 94,1% через 40 лет.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5BF7">
        <w:rPr>
          <w:rFonts w:ascii="Times New Roman" w:hAnsi="Times New Roman" w:cs="Times New Roman"/>
          <w:sz w:val="24"/>
          <w:szCs w:val="24"/>
          <w:lang w:val="ru-RU"/>
        </w:rPr>
        <w:t>Данные о выживаемости керамических типов реставраций кажутся многообещающими.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5BF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 дальнейшие высококачественные долгосрочные клинические исследования, чтобы сообщить нам о причинах отказа </w:t>
      </w:r>
      <w:r w:rsidR="00E94451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5BF7">
        <w:rPr>
          <w:rFonts w:ascii="Times New Roman" w:hAnsi="Times New Roman" w:cs="Times New Roman"/>
          <w:sz w:val="24"/>
          <w:szCs w:val="24"/>
          <w:lang w:val="ru-RU"/>
        </w:rPr>
        <w:t>этих реставраций и диапазоне клинических обстоятельств, при которых можно использовать каждый тип керамической реставрации.</w:t>
      </w:r>
    </w:p>
    <w:p w14:paraId="6F1F2183" w14:textId="1855A098" w:rsidR="00A378D2" w:rsidRDefault="00A378D2" w:rsidP="00A378D2">
      <w:pPr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FEA064" w14:textId="77777777" w:rsidR="00A378D2" w:rsidRPr="000F43B1" w:rsidRDefault="00A378D2" w:rsidP="00A378D2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0CC2B58E" w14:textId="51A616E4" w:rsidR="006F4539" w:rsidRPr="000F43B1" w:rsidRDefault="00442816" w:rsidP="00442816">
      <w:pPr>
        <w:pStyle w:val="a5"/>
        <w:shd w:val="clear" w:color="auto" w:fill="FFFFFF"/>
        <w:spacing w:after="0" w:line="360" w:lineRule="auto"/>
        <w:ind w:left="-851" w:right="-77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F43B1">
        <w:rPr>
          <w:rFonts w:ascii="Times New Roman" w:hAnsi="Times New Roman" w:cs="Times New Roman"/>
          <w:color w:val="auto"/>
          <w:sz w:val="24"/>
          <w:szCs w:val="24"/>
          <w:u w:color="4472C4"/>
          <w:lang w:val="ru-RU"/>
        </w:rPr>
        <w:t>*</w:t>
      </w:r>
      <w:r w:rsidR="0037455A" w:rsidRPr="000F43B1">
        <w:rPr>
          <w:rFonts w:ascii="Times New Roman" w:hAnsi="Times New Roman" w:cs="Times New Roman"/>
          <w:color w:val="auto"/>
          <w:sz w:val="24"/>
          <w:szCs w:val="24"/>
          <w:u w:color="4472C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6F4539" w:rsidRPr="000F43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0823" w14:textId="77777777" w:rsidR="008F6819" w:rsidRDefault="008F6819">
      <w:pPr>
        <w:spacing w:after="0" w:line="240" w:lineRule="auto"/>
      </w:pPr>
      <w:r>
        <w:separator/>
      </w:r>
    </w:p>
  </w:endnote>
  <w:endnote w:type="continuationSeparator" w:id="0">
    <w:p w14:paraId="37DD4D0C" w14:textId="77777777" w:rsidR="008F6819" w:rsidRDefault="008F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1986" w14:textId="77777777" w:rsidR="00AC021F" w:rsidRDefault="00AC02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F2DE" w14:textId="77777777" w:rsidR="00AC021F" w:rsidRDefault="00AC02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E174" w14:textId="77777777" w:rsidR="00AC021F" w:rsidRDefault="00AC02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2383" w14:textId="77777777" w:rsidR="008F6819" w:rsidRDefault="008F6819">
      <w:pPr>
        <w:spacing w:after="0" w:line="240" w:lineRule="auto"/>
      </w:pPr>
      <w:r>
        <w:separator/>
      </w:r>
    </w:p>
  </w:footnote>
  <w:footnote w:type="continuationSeparator" w:id="0">
    <w:p w14:paraId="0E862198" w14:textId="77777777" w:rsidR="008F6819" w:rsidRDefault="008F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B1E" w14:textId="77777777" w:rsidR="00AC021F" w:rsidRDefault="00AC02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AB6C" w14:textId="77777777" w:rsidR="00AC021F" w:rsidRDefault="00AC02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2752" w14:textId="77777777" w:rsidR="00AC021F" w:rsidRDefault="00AC02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39"/>
    <w:rsid w:val="0002334A"/>
    <w:rsid w:val="000F43B1"/>
    <w:rsid w:val="0010041E"/>
    <w:rsid w:val="00124579"/>
    <w:rsid w:val="00140349"/>
    <w:rsid w:val="0015448A"/>
    <w:rsid w:val="001B6833"/>
    <w:rsid w:val="001D6C24"/>
    <w:rsid w:val="002223FF"/>
    <w:rsid w:val="0028180C"/>
    <w:rsid w:val="0037455A"/>
    <w:rsid w:val="00384D88"/>
    <w:rsid w:val="00393190"/>
    <w:rsid w:val="0040234D"/>
    <w:rsid w:val="00440480"/>
    <w:rsid w:val="00442816"/>
    <w:rsid w:val="00547E5B"/>
    <w:rsid w:val="00560C5D"/>
    <w:rsid w:val="005F6E40"/>
    <w:rsid w:val="00621AF1"/>
    <w:rsid w:val="006561DA"/>
    <w:rsid w:val="00697260"/>
    <w:rsid w:val="006F4539"/>
    <w:rsid w:val="008A62E8"/>
    <w:rsid w:val="008F1AF0"/>
    <w:rsid w:val="008F6819"/>
    <w:rsid w:val="009076AD"/>
    <w:rsid w:val="009B5D0C"/>
    <w:rsid w:val="009F50FF"/>
    <w:rsid w:val="009F7554"/>
    <w:rsid w:val="00A378D2"/>
    <w:rsid w:val="00A60F4C"/>
    <w:rsid w:val="00AA3AC9"/>
    <w:rsid w:val="00AA7734"/>
    <w:rsid w:val="00AC021F"/>
    <w:rsid w:val="00AF0FFE"/>
    <w:rsid w:val="00B7231B"/>
    <w:rsid w:val="00BD7F52"/>
    <w:rsid w:val="00C825B3"/>
    <w:rsid w:val="00CA6A6D"/>
    <w:rsid w:val="00CF403E"/>
    <w:rsid w:val="00CF4346"/>
    <w:rsid w:val="00D213F7"/>
    <w:rsid w:val="00D557D3"/>
    <w:rsid w:val="00E1147F"/>
    <w:rsid w:val="00E30EB3"/>
    <w:rsid w:val="00E62F81"/>
    <w:rsid w:val="00E73CCA"/>
    <w:rsid w:val="00E94451"/>
    <w:rsid w:val="00F0532B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5554"/>
  <w15:docId w15:val="{50BE77C3-DBFE-4DBB-99D2-8FF1E24F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6">
    <w:name w:val="header"/>
    <w:basedOn w:val="a"/>
    <w:link w:val="a7"/>
    <w:uiPriority w:val="99"/>
    <w:unhideWhenUsed/>
    <w:rsid w:val="00AC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21F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8">
    <w:name w:val="footer"/>
    <w:basedOn w:val="a"/>
    <w:link w:val="a9"/>
    <w:uiPriority w:val="99"/>
    <w:unhideWhenUsed/>
    <w:rsid w:val="00AC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21F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s1">
    <w:name w:val="s1"/>
    <w:basedOn w:val="a0"/>
    <w:rsid w:val="0015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1779</Words>
  <Characters>10145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 Avazov</cp:lastModifiedBy>
  <cp:revision>25</cp:revision>
  <dcterms:created xsi:type="dcterms:W3CDTF">2022-04-18T13:22:00Z</dcterms:created>
  <dcterms:modified xsi:type="dcterms:W3CDTF">2022-12-28T12:20:00Z</dcterms:modified>
</cp:coreProperties>
</file>