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EC05D" w14:textId="77777777" w:rsidR="00360A2D" w:rsidRPr="007E00A5" w:rsidRDefault="003C097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7E00A5">
        <w:rPr>
          <w:rFonts w:ascii="Times New Roman" w:hAnsi="Times New Roman" w:cs="Times New Roman"/>
          <w:b/>
          <w:bCs/>
          <w:sz w:val="24"/>
          <w:szCs w:val="24"/>
        </w:rPr>
        <w:t>Результаты лечения адентии циркониевыми имплантатами</w:t>
      </w:r>
    </w:p>
    <w:p w14:paraId="5BE66A87" w14:textId="77777777" w:rsidR="00360A2D" w:rsidRPr="007E00A5" w:rsidRDefault="00360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91A678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00A5">
        <w:rPr>
          <w:rFonts w:ascii="Times New Roman" w:hAnsi="Times New Roman" w:cs="Times New Roman"/>
          <w:b/>
          <w:bCs/>
          <w:sz w:val="24"/>
          <w:szCs w:val="24"/>
        </w:rPr>
        <w:tab/>
        <w:t>Актуальность</w:t>
      </w:r>
      <w:r w:rsidRPr="007E00A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BAC12E0" w14:textId="77777777" w:rsidR="00360A2D" w:rsidRPr="007E00A5" w:rsidRDefault="00360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5CE794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ab/>
        <w:t xml:space="preserve">Благодаря </w:t>
      </w:r>
      <w:proofErr w:type="spellStart"/>
      <w:r w:rsidRPr="007E00A5">
        <w:rPr>
          <w:rFonts w:ascii="Times New Roman" w:hAnsi="Times New Roman" w:cs="Times New Roman"/>
          <w:sz w:val="24"/>
          <w:szCs w:val="24"/>
        </w:rPr>
        <w:t>биосовместимости</w:t>
      </w:r>
      <w:proofErr w:type="spellEnd"/>
      <w:r w:rsidRPr="007E00A5">
        <w:rPr>
          <w:rFonts w:ascii="Times New Roman" w:hAnsi="Times New Roman" w:cs="Times New Roman"/>
          <w:sz w:val="24"/>
          <w:szCs w:val="24"/>
        </w:rPr>
        <w:t>, превосходным механическим свойствам, а также накопившейся доказательной базе</w:t>
      </w:r>
      <w:r w:rsidRPr="007E00A5">
        <w:rPr>
          <w:rFonts w:ascii="Times New Roman" w:hAnsi="Times New Roman" w:cs="Times New Roman"/>
          <w:sz w:val="24"/>
          <w:szCs w:val="24"/>
        </w:rPr>
        <w:t xml:space="preserve"> эффективности лечения, в том числе и в долгосрочной перспективе, титан и его сплавы стали наиболее часто используемыми материалами для изготовления дентальных имплантатов, которые получили широкое применение в клинической практике [1-4*].</w:t>
      </w:r>
    </w:p>
    <w:p w14:paraId="2E2CE831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ab/>
        <w:t>Основным недост</w:t>
      </w:r>
      <w:r w:rsidRPr="007E00A5">
        <w:rPr>
          <w:rFonts w:ascii="Times New Roman" w:hAnsi="Times New Roman" w:cs="Times New Roman"/>
          <w:sz w:val="24"/>
          <w:szCs w:val="24"/>
        </w:rPr>
        <w:t xml:space="preserve">атком титана является его </w:t>
      </w:r>
      <w:r w:rsidRPr="007E00A5">
        <w:rPr>
          <w:rFonts w:ascii="Times New Roman" w:hAnsi="Times New Roman" w:cs="Times New Roman"/>
          <w:sz w:val="24"/>
          <w:szCs w:val="24"/>
        </w:rPr>
        <w:t>тёмно</w:t>
      </w:r>
      <w:r w:rsidRPr="007E00A5">
        <w:rPr>
          <w:rFonts w:ascii="Times New Roman" w:hAnsi="Times New Roman" w:cs="Times New Roman"/>
          <w:sz w:val="24"/>
          <w:szCs w:val="24"/>
        </w:rPr>
        <w:t xml:space="preserve">-серый оттенок, который часто </w:t>
      </w:r>
      <w:r w:rsidRPr="007E00A5">
        <w:rPr>
          <w:rFonts w:ascii="Times New Roman" w:hAnsi="Times New Roman" w:cs="Times New Roman"/>
          <w:sz w:val="24"/>
          <w:szCs w:val="24"/>
        </w:rPr>
        <w:t>просвечивает</w:t>
      </w:r>
      <w:r w:rsidRPr="007E00A5">
        <w:rPr>
          <w:rFonts w:ascii="Times New Roman" w:hAnsi="Times New Roman" w:cs="Times New Roman"/>
          <w:sz w:val="24"/>
          <w:szCs w:val="24"/>
        </w:rPr>
        <w:t xml:space="preserve"> сквозь слизистую оболочку и ухудшает эстетику при тонком биотипе слизистой оболочки [5,6*]. Другой проблемой являются возможные неблагоприятные реакции гиперчувствительности [9-13*].</w:t>
      </w:r>
      <w:r w:rsidRPr="007E00A5">
        <w:rPr>
          <w:rFonts w:ascii="Times New Roman" w:hAnsi="Times New Roman" w:cs="Times New Roman"/>
          <w:sz w:val="24"/>
          <w:szCs w:val="24"/>
        </w:rPr>
        <w:t xml:space="preserve"> Данные минусы привели к разработке и внедрению других материалов. В стоматологии неуклонно набирает популярность керамика, обладающая высокими </w:t>
      </w:r>
      <w:r w:rsidRPr="007E00A5">
        <w:rPr>
          <w:rFonts w:ascii="Times New Roman" w:hAnsi="Times New Roman" w:cs="Times New Roman"/>
          <w:sz w:val="24"/>
          <w:szCs w:val="24"/>
        </w:rPr>
        <w:t>эстетическими</w:t>
      </w:r>
      <w:r w:rsidRPr="007E00A5">
        <w:rPr>
          <w:rFonts w:ascii="Times New Roman" w:hAnsi="Times New Roman" w:cs="Times New Roman"/>
          <w:sz w:val="24"/>
          <w:szCs w:val="24"/>
        </w:rPr>
        <w:t xml:space="preserve"> характеристиками. В настоящее время керамика используется для изготовления не только зубных протез</w:t>
      </w:r>
      <w:r w:rsidRPr="007E00A5">
        <w:rPr>
          <w:rFonts w:ascii="Times New Roman" w:hAnsi="Times New Roman" w:cs="Times New Roman"/>
          <w:sz w:val="24"/>
          <w:szCs w:val="24"/>
        </w:rPr>
        <w:t>ов, но и дентальных имплантатов [8*].</w:t>
      </w:r>
    </w:p>
    <w:p w14:paraId="0BD467F6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ab/>
        <w:t xml:space="preserve">В последнее время в литературе </w:t>
      </w:r>
      <w:r w:rsidRPr="007E00A5">
        <w:rPr>
          <w:rFonts w:ascii="Times New Roman" w:hAnsi="Times New Roman" w:cs="Times New Roman"/>
          <w:sz w:val="24"/>
          <w:szCs w:val="24"/>
        </w:rPr>
        <w:t xml:space="preserve">всё </w:t>
      </w:r>
      <w:r w:rsidRPr="007E00A5">
        <w:rPr>
          <w:rFonts w:ascii="Times New Roman" w:hAnsi="Times New Roman" w:cs="Times New Roman"/>
          <w:sz w:val="24"/>
          <w:szCs w:val="24"/>
        </w:rPr>
        <w:t xml:space="preserve">чаще публикуются клинические исследования о лечении адентии с использованием дентальных имплантатов из диоксида циркония. Однако по-прежнему нет </w:t>
      </w:r>
      <w:r w:rsidRPr="007E00A5">
        <w:rPr>
          <w:rFonts w:ascii="Times New Roman" w:hAnsi="Times New Roman" w:cs="Times New Roman"/>
          <w:sz w:val="24"/>
          <w:szCs w:val="24"/>
        </w:rPr>
        <w:t xml:space="preserve">чётких </w:t>
      </w:r>
      <w:r w:rsidRPr="007E00A5">
        <w:rPr>
          <w:rFonts w:ascii="Times New Roman" w:hAnsi="Times New Roman" w:cs="Times New Roman"/>
          <w:sz w:val="24"/>
          <w:szCs w:val="24"/>
        </w:rPr>
        <w:t>данных о выживаемости данных и</w:t>
      </w:r>
      <w:r w:rsidRPr="007E00A5">
        <w:rPr>
          <w:rFonts w:ascii="Times New Roman" w:hAnsi="Times New Roman" w:cs="Times New Roman"/>
          <w:sz w:val="24"/>
          <w:szCs w:val="24"/>
        </w:rPr>
        <w:t>мплантатов в долгосрочной перспективе, а также о вероятности возникновения переломов [18-20*].</w:t>
      </w:r>
    </w:p>
    <w:p w14:paraId="6EA4F8C5" w14:textId="77777777" w:rsidR="00360A2D" w:rsidRPr="007E00A5" w:rsidRDefault="00360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E88471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0A5">
        <w:rPr>
          <w:rFonts w:ascii="Times New Roman" w:hAnsi="Times New Roman" w:cs="Times New Roman"/>
          <w:b/>
          <w:sz w:val="24"/>
          <w:szCs w:val="24"/>
        </w:rPr>
        <w:tab/>
        <w:t>Цель</w:t>
      </w:r>
    </w:p>
    <w:p w14:paraId="782DCC06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ab/>
      </w:r>
    </w:p>
    <w:p w14:paraId="0FF8EE61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ab/>
        <w:t>Цель обзора заключалась в оценке клинических результатов лечения с использованием дентальных имплантатов из диоксида циркония.</w:t>
      </w:r>
    </w:p>
    <w:p w14:paraId="5BDDBDCD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ab/>
      </w:r>
    </w:p>
    <w:p w14:paraId="64C75503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0A5">
        <w:rPr>
          <w:rFonts w:ascii="Times New Roman" w:hAnsi="Times New Roman" w:cs="Times New Roman"/>
          <w:b/>
          <w:sz w:val="24"/>
          <w:szCs w:val="24"/>
        </w:rPr>
        <w:tab/>
        <w:t>Материалы и методы</w:t>
      </w:r>
    </w:p>
    <w:p w14:paraId="4E153160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ab/>
      </w:r>
    </w:p>
    <w:p w14:paraId="1E140F30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ab/>
        <w:t xml:space="preserve">Проводился поиск литературы в электронных базах </w:t>
      </w:r>
      <w:proofErr w:type="spellStart"/>
      <w:r w:rsidRPr="007E00A5">
        <w:rPr>
          <w:rFonts w:ascii="Times New Roman" w:hAnsi="Times New Roman" w:cs="Times New Roman"/>
          <w:sz w:val="24"/>
          <w:szCs w:val="24"/>
          <w:lang w:val="en-US"/>
        </w:rPr>
        <w:t>Pubmed</w:t>
      </w:r>
      <w:proofErr w:type="spellEnd"/>
      <w:r w:rsidRPr="007E00A5">
        <w:rPr>
          <w:rFonts w:ascii="Times New Roman" w:hAnsi="Times New Roman" w:cs="Times New Roman"/>
          <w:sz w:val="24"/>
          <w:szCs w:val="24"/>
        </w:rPr>
        <w:t xml:space="preserve">,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E00A5">
        <w:rPr>
          <w:rFonts w:ascii="Times New Roman" w:hAnsi="Times New Roman" w:cs="Times New Roman"/>
          <w:sz w:val="24"/>
          <w:szCs w:val="24"/>
        </w:rPr>
        <w:t xml:space="preserve">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7E00A5">
        <w:rPr>
          <w:rFonts w:ascii="Times New Roman" w:hAnsi="Times New Roman" w:cs="Times New Roman"/>
          <w:sz w:val="24"/>
          <w:szCs w:val="24"/>
        </w:rPr>
        <w:t xml:space="preserve">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Science</w:t>
      </w:r>
      <w:r w:rsidRPr="007E00A5">
        <w:rPr>
          <w:rFonts w:ascii="Times New Roman" w:hAnsi="Times New Roman" w:cs="Times New Roman"/>
          <w:sz w:val="24"/>
          <w:szCs w:val="24"/>
        </w:rPr>
        <w:t xml:space="preserve">,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Science</w:t>
      </w:r>
      <w:r w:rsidRPr="007E00A5">
        <w:rPr>
          <w:rFonts w:ascii="Times New Roman" w:hAnsi="Times New Roman" w:cs="Times New Roman"/>
          <w:sz w:val="24"/>
          <w:szCs w:val="24"/>
        </w:rPr>
        <w:t xml:space="preserve">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Direct</w:t>
      </w:r>
      <w:r w:rsidRPr="007E00A5">
        <w:rPr>
          <w:rFonts w:ascii="Times New Roman" w:hAnsi="Times New Roman" w:cs="Times New Roman"/>
          <w:sz w:val="24"/>
          <w:szCs w:val="24"/>
        </w:rPr>
        <w:t>, датированных до июня 2023.</w:t>
      </w:r>
    </w:p>
    <w:p w14:paraId="029759B7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ab/>
        <w:t xml:space="preserve">Анализировались данные о ранних и поздних осложнениях (любые признаки и симптомы, которые привели к удалению имплантата),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CSR</w:t>
      </w:r>
      <w:r w:rsidRPr="007E00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E00A5">
        <w:rPr>
          <w:rFonts w:ascii="Times New Roman" w:hAnsi="Times New Roman" w:cs="Times New Roman"/>
          <w:sz w:val="24"/>
          <w:szCs w:val="24"/>
        </w:rPr>
        <w:t>cumulative</w:t>
      </w:r>
      <w:proofErr w:type="spellEnd"/>
      <w:r w:rsidRPr="007E00A5">
        <w:rPr>
          <w:rFonts w:ascii="Times New Roman" w:hAnsi="Times New Roman" w:cs="Times New Roman"/>
          <w:sz w:val="24"/>
          <w:szCs w:val="24"/>
        </w:rPr>
        <w:t xml:space="preserve">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urvival</w:t>
      </w:r>
      <w:r w:rsidRPr="007E00A5">
        <w:rPr>
          <w:rFonts w:ascii="Times New Roman" w:hAnsi="Times New Roman" w:cs="Times New Roman"/>
          <w:sz w:val="24"/>
          <w:szCs w:val="24"/>
        </w:rPr>
        <w:t xml:space="preserve">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rate</w:t>
      </w:r>
      <w:r w:rsidRPr="007E00A5">
        <w:rPr>
          <w:rFonts w:ascii="Times New Roman" w:hAnsi="Times New Roman" w:cs="Times New Roman"/>
          <w:sz w:val="24"/>
          <w:szCs w:val="24"/>
        </w:rPr>
        <w:t>, кумулятивная выживаемость), MBL (</w:t>
      </w:r>
      <w:proofErr w:type="spellStart"/>
      <w:r w:rsidRPr="007E00A5">
        <w:rPr>
          <w:rFonts w:ascii="Times New Roman" w:hAnsi="Times New Roman" w:cs="Times New Roman"/>
          <w:sz w:val="24"/>
          <w:szCs w:val="24"/>
        </w:rPr>
        <w:t>marginal</w:t>
      </w:r>
      <w:proofErr w:type="spellEnd"/>
      <w:r w:rsidRPr="007E00A5">
        <w:rPr>
          <w:rFonts w:ascii="Times New Roman" w:hAnsi="Times New Roman" w:cs="Times New Roman"/>
          <w:sz w:val="24"/>
          <w:szCs w:val="24"/>
        </w:rPr>
        <w:t xml:space="preserve">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bone</w:t>
      </w:r>
      <w:r w:rsidRPr="007E00A5">
        <w:rPr>
          <w:rFonts w:ascii="Times New Roman" w:hAnsi="Times New Roman" w:cs="Times New Roman"/>
          <w:sz w:val="24"/>
          <w:szCs w:val="24"/>
        </w:rPr>
        <w:t xml:space="preserve">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loss</w:t>
      </w:r>
      <w:r w:rsidRPr="007E00A5">
        <w:rPr>
          <w:rFonts w:ascii="Times New Roman" w:hAnsi="Times New Roman" w:cs="Times New Roman"/>
          <w:sz w:val="24"/>
          <w:szCs w:val="24"/>
        </w:rPr>
        <w:t>, краевая потеря костной ткани).</w:t>
      </w:r>
    </w:p>
    <w:p w14:paraId="03597A94" w14:textId="77777777" w:rsidR="00360A2D" w:rsidRPr="007E00A5" w:rsidRDefault="00360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C042FB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0A5">
        <w:rPr>
          <w:rFonts w:ascii="Times New Roman" w:hAnsi="Times New Roman" w:cs="Times New Roman"/>
          <w:b/>
          <w:sz w:val="24"/>
          <w:szCs w:val="24"/>
        </w:rPr>
        <w:tab/>
        <w:t>Результаты</w:t>
      </w:r>
    </w:p>
    <w:p w14:paraId="5CD65F07" w14:textId="77777777" w:rsidR="00360A2D" w:rsidRPr="007E00A5" w:rsidRDefault="00360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0887EB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ab/>
        <w:t xml:space="preserve">В обзор вошли данные 25 исследований (всего 2083 пациентов, 4017 имплантатов с различными системами: </w:t>
      </w:r>
      <w:proofErr w:type="spellStart"/>
      <w:r w:rsidRPr="007E00A5">
        <w:rPr>
          <w:rFonts w:ascii="Times New Roman" w:hAnsi="Times New Roman" w:cs="Times New Roman"/>
          <w:sz w:val="24"/>
          <w:szCs w:val="24"/>
          <w:lang w:val="en-US"/>
        </w:rPr>
        <w:t>CeraRoot</w:t>
      </w:r>
      <w:proofErr w:type="spellEnd"/>
      <w:r w:rsidRPr="007E00A5">
        <w:rPr>
          <w:rFonts w:ascii="Times New Roman" w:hAnsi="Times New Roman" w:cs="Times New Roman"/>
          <w:sz w:val="24"/>
          <w:szCs w:val="24"/>
        </w:rPr>
        <w:t xml:space="preserve">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7E00A5">
        <w:rPr>
          <w:rFonts w:ascii="Times New Roman" w:hAnsi="Times New Roman" w:cs="Times New Roman"/>
          <w:sz w:val="24"/>
          <w:szCs w:val="24"/>
        </w:rPr>
        <w:t xml:space="preserve">/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ICE</w:t>
      </w:r>
      <w:r w:rsidRPr="007E00A5">
        <w:rPr>
          <w:rFonts w:ascii="Times New Roman" w:hAnsi="Times New Roman" w:cs="Times New Roman"/>
          <w:sz w:val="24"/>
          <w:szCs w:val="24"/>
        </w:rPr>
        <w:t xml:space="preserve">/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UC</w:t>
      </w:r>
      <w:r w:rsidRPr="007E00A5">
        <w:rPr>
          <w:rFonts w:ascii="Times New Roman" w:hAnsi="Times New Roman" w:cs="Times New Roman"/>
          <w:sz w:val="24"/>
          <w:szCs w:val="24"/>
        </w:rPr>
        <w:t xml:space="preserve">,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Nobel</w:t>
      </w:r>
      <w:r w:rsidRPr="007E00A5">
        <w:rPr>
          <w:rFonts w:ascii="Times New Roman" w:hAnsi="Times New Roman" w:cs="Times New Roman"/>
          <w:sz w:val="24"/>
          <w:szCs w:val="24"/>
        </w:rPr>
        <w:t xml:space="preserve">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BioCare</w:t>
      </w:r>
      <w:r w:rsidRPr="007E0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0A5">
        <w:rPr>
          <w:rFonts w:ascii="Times New Roman" w:hAnsi="Times New Roman" w:cs="Times New Roman"/>
          <w:sz w:val="24"/>
          <w:szCs w:val="24"/>
          <w:lang w:val="en-US"/>
        </w:rPr>
        <w:t>ZiUnite</w:t>
      </w:r>
      <w:proofErr w:type="spellEnd"/>
      <w:r w:rsidRPr="007E00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00A5">
        <w:rPr>
          <w:rFonts w:ascii="Times New Roman" w:hAnsi="Times New Roman" w:cs="Times New Roman"/>
          <w:sz w:val="24"/>
          <w:szCs w:val="24"/>
        </w:rPr>
        <w:t>Straumann</w:t>
      </w:r>
      <w:proofErr w:type="spellEnd"/>
      <w:r w:rsidRPr="007E00A5">
        <w:rPr>
          <w:rFonts w:ascii="Times New Roman" w:hAnsi="Times New Roman" w:cs="Times New Roman"/>
          <w:sz w:val="24"/>
          <w:szCs w:val="24"/>
        </w:rPr>
        <w:t xml:space="preserve">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PURE</w:t>
      </w:r>
      <w:r w:rsidRPr="007E00A5">
        <w:rPr>
          <w:rFonts w:ascii="Times New Roman" w:hAnsi="Times New Roman" w:cs="Times New Roman"/>
          <w:sz w:val="24"/>
          <w:szCs w:val="24"/>
        </w:rPr>
        <w:t xml:space="preserve">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Ceramic</w:t>
      </w:r>
      <w:r w:rsidRPr="007E00A5">
        <w:rPr>
          <w:rFonts w:ascii="Times New Roman" w:hAnsi="Times New Roman" w:cs="Times New Roman"/>
          <w:sz w:val="24"/>
          <w:szCs w:val="24"/>
        </w:rPr>
        <w:t xml:space="preserve">,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Vita</w:t>
      </w:r>
      <w:r w:rsidRPr="007E00A5">
        <w:rPr>
          <w:rFonts w:ascii="Times New Roman" w:hAnsi="Times New Roman" w:cs="Times New Roman"/>
          <w:sz w:val="24"/>
          <w:szCs w:val="24"/>
        </w:rPr>
        <w:t xml:space="preserve">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ceramic</w:t>
      </w:r>
      <w:r w:rsidRPr="007E00A5">
        <w:rPr>
          <w:rFonts w:ascii="Times New Roman" w:hAnsi="Times New Roman" w:cs="Times New Roman"/>
          <w:sz w:val="24"/>
          <w:szCs w:val="24"/>
        </w:rPr>
        <w:t xml:space="preserve">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implant</w:t>
      </w:r>
      <w:r w:rsidRPr="007E00A5">
        <w:rPr>
          <w:rFonts w:ascii="Times New Roman" w:hAnsi="Times New Roman" w:cs="Times New Roman"/>
          <w:sz w:val="24"/>
          <w:szCs w:val="24"/>
        </w:rPr>
        <w:t xml:space="preserve">,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VORZIRKON</w:t>
      </w:r>
      <w:r w:rsidRPr="007E00A5">
        <w:rPr>
          <w:rFonts w:ascii="Times New Roman" w:hAnsi="Times New Roman" w:cs="Times New Roman"/>
          <w:sz w:val="24"/>
          <w:szCs w:val="24"/>
        </w:rPr>
        <w:t xml:space="preserve"> 1/2,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White</w:t>
      </w:r>
      <w:r w:rsidRPr="007E00A5">
        <w:rPr>
          <w:rFonts w:ascii="Times New Roman" w:hAnsi="Times New Roman" w:cs="Times New Roman"/>
          <w:sz w:val="24"/>
          <w:szCs w:val="24"/>
        </w:rPr>
        <w:t>-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SKY</w:t>
      </w:r>
      <w:r w:rsidRPr="007E00A5">
        <w:rPr>
          <w:rFonts w:ascii="Times New Roman" w:hAnsi="Times New Roman" w:cs="Times New Roman"/>
          <w:sz w:val="24"/>
          <w:szCs w:val="24"/>
        </w:rPr>
        <w:t xml:space="preserve">,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7E00A5">
        <w:rPr>
          <w:rFonts w:ascii="Times New Roman" w:hAnsi="Times New Roman" w:cs="Times New Roman"/>
          <w:sz w:val="24"/>
          <w:szCs w:val="24"/>
        </w:rPr>
        <w:t>-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look</w:t>
      </w:r>
      <w:r w:rsidRPr="007E00A5">
        <w:rPr>
          <w:rFonts w:ascii="Times New Roman" w:hAnsi="Times New Roman" w:cs="Times New Roman"/>
          <w:sz w:val="24"/>
          <w:szCs w:val="24"/>
        </w:rPr>
        <w:t xml:space="preserve">3,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ZERAMEX</w:t>
      </w:r>
      <w:r w:rsidRPr="007E00A5">
        <w:rPr>
          <w:rFonts w:ascii="Times New Roman" w:hAnsi="Times New Roman" w:cs="Times New Roman"/>
          <w:sz w:val="24"/>
          <w:szCs w:val="24"/>
        </w:rPr>
        <w:t xml:space="preserve">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7E00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00A5">
        <w:rPr>
          <w:rFonts w:ascii="Times New Roman" w:hAnsi="Times New Roman" w:cs="Times New Roman"/>
          <w:sz w:val="24"/>
          <w:szCs w:val="24"/>
        </w:rPr>
        <w:t>Ziraldent</w:t>
      </w:r>
      <w:proofErr w:type="spellEnd"/>
      <w:r w:rsidRPr="007E00A5">
        <w:rPr>
          <w:rFonts w:ascii="Times New Roman" w:hAnsi="Times New Roman" w:cs="Times New Roman"/>
          <w:sz w:val="24"/>
          <w:szCs w:val="24"/>
        </w:rPr>
        <w:t xml:space="preserve">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FR</w:t>
      </w:r>
      <w:r w:rsidRPr="007E00A5">
        <w:rPr>
          <w:rFonts w:ascii="Times New Roman" w:hAnsi="Times New Roman" w:cs="Times New Roman"/>
          <w:sz w:val="24"/>
          <w:szCs w:val="24"/>
        </w:rPr>
        <w:t xml:space="preserve">1,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ZV</w:t>
      </w:r>
      <w:r w:rsidRPr="007E00A5">
        <w:rPr>
          <w:rFonts w:ascii="Times New Roman" w:hAnsi="Times New Roman" w:cs="Times New Roman"/>
          <w:sz w:val="24"/>
          <w:szCs w:val="24"/>
        </w:rPr>
        <w:t>3 и др.).</w:t>
      </w:r>
    </w:p>
    <w:p w14:paraId="0D53019D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ab/>
        <w:t>В 7 исследованиях период динамического наблюдения составлял более 60 месяцев.</w:t>
      </w:r>
    </w:p>
    <w:p w14:paraId="4471A333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ab/>
        <w:t xml:space="preserve">Через 12,0 </w:t>
      </w:r>
      <w:r w:rsidRPr="007E00A5">
        <w:t>±</w:t>
      </w:r>
      <w:r w:rsidRPr="007E00A5">
        <w:rPr>
          <w:rFonts w:ascii="Times New Roman" w:hAnsi="Times New Roman" w:cs="Times New Roman"/>
          <w:sz w:val="24"/>
          <w:szCs w:val="24"/>
        </w:rPr>
        <w:t xml:space="preserve"> 16,1</w:t>
      </w:r>
      <w:r w:rsidRPr="007E00A5">
        <w:rPr>
          <w:rFonts w:ascii="Times New Roman" w:hAnsi="Times New Roman" w:cs="Times New Roman"/>
          <w:sz w:val="24"/>
          <w:szCs w:val="24"/>
        </w:rPr>
        <w:t xml:space="preserve"> месяца </w:t>
      </w:r>
      <w:r w:rsidRPr="007E00A5">
        <w:rPr>
          <w:rFonts w:ascii="Times New Roman" w:hAnsi="Times New Roman" w:cs="Times New Roman"/>
          <w:sz w:val="24"/>
          <w:szCs w:val="24"/>
        </w:rPr>
        <w:t xml:space="preserve">осложнения наблюдались </w:t>
      </w:r>
      <w:r w:rsidRPr="007E00A5">
        <w:rPr>
          <w:rFonts w:ascii="Times New Roman" w:hAnsi="Times New Roman" w:cs="Times New Roman"/>
          <w:sz w:val="24"/>
          <w:szCs w:val="24"/>
        </w:rPr>
        <w:t xml:space="preserve">в области 172 имплантатов: у 47 </w:t>
      </w:r>
      <w:r w:rsidRPr="007E00A5">
        <w:t>—</w:t>
      </w:r>
      <w:r w:rsidRPr="007E00A5">
        <w:rPr>
          <w:rFonts w:ascii="Times New Roman" w:hAnsi="Times New Roman" w:cs="Times New Roman"/>
          <w:sz w:val="24"/>
          <w:szCs w:val="24"/>
        </w:rPr>
        <w:t xml:space="preserve"> ранние осложнения; у 26 </w:t>
      </w:r>
      <w:r w:rsidRPr="007E00A5">
        <w:t>—</w:t>
      </w:r>
      <w:r w:rsidRPr="007E00A5">
        <w:rPr>
          <w:rFonts w:ascii="Times New Roman" w:hAnsi="Times New Roman" w:cs="Times New Roman"/>
          <w:sz w:val="24"/>
          <w:szCs w:val="24"/>
        </w:rPr>
        <w:t xml:space="preserve"> перелом, из них 25 имплантатов </w:t>
      </w:r>
      <w:r w:rsidRPr="007E00A5">
        <w:rPr>
          <w:rFonts w:ascii="Times New Roman" w:hAnsi="Times New Roman" w:cs="Times New Roman"/>
          <w:sz w:val="24"/>
          <w:szCs w:val="24"/>
        </w:rPr>
        <w:t>принадлежали к системам,</w:t>
      </w:r>
      <w:r w:rsidRPr="007E00A5">
        <w:rPr>
          <w:rFonts w:ascii="Times New Roman" w:hAnsi="Times New Roman" w:cs="Times New Roman"/>
          <w:sz w:val="24"/>
          <w:szCs w:val="24"/>
        </w:rPr>
        <w:t xml:space="preserve">  </w:t>
      </w:r>
      <w:r w:rsidRPr="007E00A5">
        <w:rPr>
          <w:rFonts w:ascii="Times New Roman" w:hAnsi="Times New Roman" w:cs="Times New Roman"/>
          <w:sz w:val="24"/>
          <w:szCs w:val="24"/>
        </w:rPr>
        <w:t xml:space="preserve">снятым с производства, </w:t>
      </w:r>
      <w:r w:rsidRPr="007E00A5">
        <w:rPr>
          <w:rFonts w:ascii="Times New Roman" w:hAnsi="Times New Roman" w:cs="Times New Roman"/>
          <w:sz w:val="24"/>
          <w:szCs w:val="24"/>
        </w:rPr>
        <w:t xml:space="preserve">а один из имплантатов был изготовлен </w:t>
      </w:r>
      <w:r w:rsidRPr="007E00A5">
        <w:rPr>
          <w:rFonts w:ascii="Times New Roman" w:hAnsi="Times New Roman" w:cs="Times New Roman"/>
          <w:sz w:val="24"/>
          <w:szCs w:val="24"/>
        </w:rPr>
        <w:t xml:space="preserve">исключительно </w:t>
      </w:r>
      <w:r w:rsidRPr="007E00A5">
        <w:rPr>
          <w:rFonts w:ascii="Times New Roman" w:hAnsi="Times New Roman" w:cs="Times New Roman"/>
          <w:sz w:val="24"/>
          <w:szCs w:val="24"/>
        </w:rPr>
        <w:t>для исследования</w:t>
      </w:r>
      <w:r w:rsidRPr="007E00A5">
        <w:rPr>
          <w:rFonts w:ascii="Times New Roman" w:hAnsi="Times New Roman" w:cs="Times New Roman"/>
          <w:sz w:val="24"/>
          <w:szCs w:val="24"/>
        </w:rPr>
        <w:t xml:space="preserve">; </w:t>
      </w:r>
      <w:r w:rsidRPr="007E00A5">
        <w:rPr>
          <w:rFonts w:ascii="Times New Roman" w:hAnsi="Times New Roman" w:cs="Times New Roman"/>
          <w:sz w:val="24"/>
          <w:szCs w:val="24"/>
        </w:rPr>
        <w:t xml:space="preserve">в большинстве случаев </w:t>
      </w:r>
      <w:r w:rsidRPr="007E00A5">
        <w:rPr>
          <w:rFonts w:ascii="Times New Roman" w:hAnsi="Times New Roman" w:cs="Times New Roman"/>
          <w:sz w:val="24"/>
          <w:szCs w:val="24"/>
        </w:rPr>
        <w:t>переломы возникали</w:t>
      </w:r>
      <w:r w:rsidRPr="007E00A5">
        <w:rPr>
          <w:rFonts w:ascii="Times New Roman" w:hAnsi="Times New Roman" w:cs="Times New Roman"/>
          <w:sz w:val="24"/>
          <w:szCs w:val="24"/>
        </w:rPr>
        <w:t xml:space="preserve"> у импл</w:t>
      </w:r>
      <w:r w:rsidRPr="007E00A5">
        <w:rPr>
          <w:rFonts w:ascii="Times New Roman" w:hAnsi="Times New Roman" w:cs="Times New Roman"/>
          <w:sz w:val="24"/>
          <w:szCs w:val="24"/>
        </w:rPr>
        <w:t>антатов с узким диаметром.</w:t>
      </w:r>
    </w:p>
    <w:p w14:paraId="568EBA16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ab/>
        <w:t>10-летняя выживаемость составила 95,1%.</w:t>
      </w:r>
    </w:p>
    <w:p w14:paraId="3C85C0AC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lastRenderedPageBreak/>
        <w:tab/>
        <w:t xml:space="preserve">Выживаемость дентальных имплантатов, </w:t>
      </w:r>
      <w:proofErr w:type="spellStart"/>
      <w:r w:rsidRPr="007E00A5">
        <w:rPr>
          <w:rFonts w:ascii="Times New Roman" w:hAnsi="Times New Roman" w:cs="Times New Roman"/>
          <w:sz w:val="24"/>
          <w:szCs w:val="24"/>
        </w:rPr>
        <w:t>наддесневая</w:t>
      </w:r>
      <w:proofErr w:type="spellEnd"/>
      <w:r w:rsidRPr="007E00A5">
        <w:rPr>
          <w:rFonts w:ascii="Times New Roman" w:hAnsi="Times New Roman" w:cs="Times New Roman"/>
          <w:sz w:val="24"/>
          <w:szCs w:val="24"/>
        </w:rPr>
        <w:t xml:space="preserve"> часть которых была подработана алмазными борами, статистически ниже, чем у имплантатов, не подвергшихся обработке.</w:t>
      </w:r>
    </w:p>
    <w:p w14:paraId="723D68CA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ab/>
      </w:r>
      <w:r w:rsidRPr="007E00A5">
        <w:rPr>
          <w:rFonts w:ascii="Times New Roman" w:hAnsi="Times New Roman" w:cs="Times New Roman"/>
          <w:sz w:val="24"/>
          <w:szCs w:val="24"/>
        </w:rPr>
        <w:t xml:space="preserve">Выживаемость разборных имплантатов ниже, чем у </w:t>
      </w:r>
      <w:proofErr w:type="spellStart"/>
      <w:r w:rsidRPr="007E00A5">
        <w:rPr>
          <w:rFonts w:ascii="Times New Roman" w:hAnsi="Times New Roman" w:cs="Times New Roman"/>
          <w:sz w:val="24"/>
          <w:szCs w:val="24"/>
        </w:rPr>
        <w:t>моноструктур</w:t>
      </w:r>
      <w:proofErr w:type="spellEnd"/>
      <w:r w:rsidRPr="007E00A5">
        <w:rPr>
          <w:rFonts w:ascii="Times New Roman" w:hAnsi="Times New Roman" w:cs="Times New Roman"/>
          <w:sz w:val="24"/>
          <w:szCs w:val="24"/>
        </w:rPr>
        <w:t>.</w:t>
      </w:r>
    </w:p>
    <w:p w14:paraId="38E9F336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ab/>
        <w:t>Выживаемость коммерчески доступных имплантатов выше, чем у имплантатов, которые более не доступны к продаже или были изготовлены исключительно для проведения исследования.</w:t>
      </w:r>
    </w:p>
    <w:p w14:paraId="022432C4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ab/>
        <w:t>Локация установленног</w:t>
      </w:r>
      <w:r w:rsidRPr="007E00A5">
        <w:rPr>
          <w:rFonts w:ascii="Times New Roman" w:hAnsi="Times New Roman" w:cs="Times New Roman"/>
          <w:sz w:val="24"/>
          <w:szCs w:val="24"/>
        </w:rPr>
        <w:t xml:space="preserve">о имплантата (верхняя/нижняя челюсть) не оказывает </w:t>
      </w:r>
      <w:r w:rsidRPr="007E00A5">
        <w:rPr>
          <w:rFonts w:ascii="Times New Roman" w:hAnsi="Times New Roman" w:cs="Times New Roman"/>
          <w:sz w:val="24"/>
          <w:szCs w:val="24"/>
        </w:rPr>
        <w:t xml:space="preserve">влияния </w:t>
      </w:r>
      <w:r w:rsidRPr="007E00A5">
        <w:rPr>
          <w:rFonts w:ascii="Times New Roman" w:hAnsi="Times New Roman" w:cs="Times New Roman"/>
          <w:sz w:val="24"/>
          <w:szCs w:val="24"/>
        </w:rPr>
        <w:t xml:space="preserve">на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CSR</w:t>
      </w:r>
      <w:r w:rsidRPr="007E00A5">
        <w:rPr>
          <w:rFonts w:ascii="Times New Roman" w:hAnsi="Times New Roman" w:cs="Times New Roman"/>
          <w:sz w:val="24"/>
          <w:szCs w:val="24"/>
        </w:rPr>
        <w:t>.</w:t>
      </w:r>
    </w:p>
    <w:p w14:paraId="41BC3C01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ab/>
        <w:t xml:space="preserve">Средние значения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MBL</w:t>
      </w:r>
      <w:r w:rsidRPr="007E00A5">
        <w:rPr>
          <w:rFonts w:ascii="Times New Roman" w:hAnsi="Times New Roman" w:cs="Times New Roman"/>
          <w:sz w:val="24"/>
          <w:szCs w:val="24"/>
        </w:rPr>
        <w:t xml:space="preserve"> колебались от 0,632 до 2,060 мм за периоды наблюдения до 132 месяцев.</w:t>
      </w:r>
    </w:p>
    <w:p w14:paraId="6D56D20C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ab/>
        <w:t>С каждым последующим месяцем наблюдения уровень MBL увеличивался на 0,005 мм.</w:t>
      </w:r>
    </w:p>
    <w:p w14:paraId="36C5057B" w14:textId="77777777" w:rsidR="00360A2D" w:rsidRPr="007E00A5" w:rsidRDefault="00360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70018C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0A5">
        <w:rPr>
          <w:rFonts w:ascii="Times New Roman" w:hAnsi="Times New Roman" w:cs="Times New Roman"/>
          <w:b/>
          <w:sz w:val="24"/>
          <w:szCs w:val="24"/>
        </w:rPr>
        <w:tab/>
        <w:t>Выводы</w:t>
      </w:r>
    </w:p>
    <w:p w14:paraId="46F824BC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ab/>
      </w:r>
    </w:p>
    <w:p w14:paraId="38A62813" w14:textId="77777777" w:rsidR="00360A2D" w:rsidRPr="007E00A5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ab/>
      </w:r>
      <w:r w:rsidRPr="007E00A5">
        <w:rPr>
          <w:rFonts w:ascii="Times New Roman" w:hAnsi="Times New Roman" w:cs="Times New Roman"/>
          <w:sz w:val="24"/>
          <w:szCs w:val="24"/>
        </w:rPr>
        <w:t xml:space="preserve">У имплантатов из диоксида циркония наблюдается высокий уровень выживаемости за 10-летний период наблюдения, а также незначительная потеря </w:t>
      </w:r>
      <w:r w:rsidRPr="007E00A5">
        <w:rPr>
          <w:rFonts w:ascii="Times New Roman" w:hAnsi="Times New Roman" w:cs="Times New Roman"/>
          <w:sz w:val="24"/>
          <w:szCs w:val="24"/>
          <w:lang w:val="en-US"/>
        </w:rPr>
        <w:t>MBL</w:t>
      </w:r>
      <w:r w:rsidRPr="007E00A5">
        <w:rPr>
          <w:rFonts w:ascii="Times New Roman" w:hAnsi="Times New Roman" w:cs="Times New Roman"/>
          <w:sz w:val="24"/>
          <w:szCs w:val="24"/>
        </w:rPr>
        <w:t xml:space="preserve"> в краткосрочной перспективе.</w:t>
      </w:r>
    </w:p>
    <w:p w14:paraId="595C2A55" w14:textId="77777777" w:rsidR="00360A2D" w:rsidRPr="007E00A5" w:rsidRDefault="00360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D0D905" w14:textId="77777777" w:rsidR="00360A2D" w:rsidRDefault="003C09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0A5">
        <w:rPr>
          <w:rFonts w:ascii="Times New Roman" w:hAnsi="Times New Roman" w:cs="Times New Roman"/>
          <w:sz w:val="24"/>
          <w:szCs w:val="24"/>
        </w:rPr>
        <w:t>*Указатели ссылок в квадратных скобках соответствуют списку литературы в первоисточн</w:t>
      </w:r>
      <w:r w:rsidRPr="007E00A5">
        <w:rPr>
          <w:rFonts w:ascii="Times New Roman" w:hAnsi="Times New Roman" w:cs="Times New Roman"/>
          <w:sz w:val="24"/>
          <w:szCs w:val="24"/>
        </w:rPr>
        <w:t>ике.</w:t>
      </w:r>
    </w:p>
    <w:sectPr w:rsidR="00360A2D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D563D" w14:textId="77777777" w:rsidR="003C0978" w:rsidRDefault="003C0978">
      <w:pPr>
        <w:spacing w:after="0" w:line="240" w:lineRule="auto"/>
      </w:pPr>
      <w:r>
        <w:separator/>
      </w:r>
    </w:p>
  </w:endnote>
  <w:endnote w:type="continuationSeparator" w:id="0">
    <w:p w14:paraId="26D3F5C9" w14:textId="77777777" w:rsidR="003C0978" w:rsidRDefault="003C0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0439E" w14:textId="77777777" w:rsidR="00360A2D" w:rsidRDefault="00360A2D">
    <w:pPr>
      <w:pStyle w:val="af9"/>
    </w:pPr>
  </w:p>
  <w:p w14:paraId="529EE189" w14:textId="77777777" w:rsidR="00360A2D" w:rsidRDefault="00360A2D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7B36C" w14:textId="77777777" w:rsidR="003C0978" w:rsidRDefault="003C0978">
      <w:pPr>
        <w:spacing w:after="0" w:line="240" w:lineRule="auto"/>
      </w:pPr>
      <w:r>
        <w:separator/>
      </w:r>
    </w:p>
  </w:footnote>
  <w:footnote w:type="continuationSeparator" w:id="0">
    <w:p w14:paraId="195A44B9" w14:textId="77777777" w:rsidR="003C0978" w:rsidRDefault="003C09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A2D"/>
    <w:rsid w:val="00360A2D"/>
    <w:rsid w:val="003C0978"/>
    <w:rsid w:val="007E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74DBC"/>
  <w15:docId w15:val="{36DE6716-FECB-4A81-8261-D01AC4A73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472C4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Щуков</dc:creator>
  <cp:keywords/>
  <dc:description/>
  <cp:lastModifiedBy>Veronika Manoylova</cp:lastModifiedBy>
  <cp:revision>37</cp:revision>
  <dcterms:created xsi:type="dcterms:W3CDTF">2026-08-10T18:32:00Z</dcterms:created>
  <dcterms:modified xsi:type="dcterms:W3CDTF">2026-09-15T09:09:00Z</dcterms:modified>
</cp:coreProperties>
</file>